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69">
        <w:r>
          <w:rPr>
            <w:rFonts w:ascii="Arial" w:cs="Arial" w:eastAsia="Arial" w:hAnsi="Arial"/>
            <w:sz w:val="22"/>
            <w:szCs w:val="22"/>
            <w:u w:val="single" w:color="auto"/>
            <w:color w:val="0000EE"/>
          </w:rPr>
          <w:t>GASLOG LTD.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auto"/>
        </w:rPr>
        <w:t>(Mark</w:t>
      </w:r>
    </w:p>
    <w:p>
      <w:pPr>
        <w:spacing w:after="0" w:line="1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One)</w:t>
      </w:r>
    </w:p>
    <w:p>
      <w:pPr>
        <w:spacing w:after="0" w:line="226" w:lineRule="exact"/>
        <w:rPr>
          <w:sz w:val="24"/>
          <w:szCs w:val="24"/>
          <w:color w:val="auto"/>
        </w:rPr>
      </w:pPr>
    </w:p>
    <w:p>
      <w:pPr>
        <w:ind w:left="740" w:hanging="49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740" w:right="420" w:hanging="530"/>
        <w:spacing w:after="0" w:line="275" w:lineRule="auto"/>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1" w:lineRule="exact"/>
        <w:rPr>
          <w:sz w:val="24"/>
          <w:szCs w:val="24"/>
          <w:color w:val="auto"/>
        </w:rPr>
      </w:pPr>
    </w:p>
    <w:p>
      <w:pPr>
        <w:ind w:left="740" w:hanging="49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740" w:hanging="49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151765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Company as specified in its charter)</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(Translation of Company's name into English)</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 GasLog LNG Services Ltd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69 Akti Miaouli</w:t>
      </w:r>
    </w:p>
    <w:p>
      <w:pPr>
        <w:jc w:val="center"/>
        <w:spacing w:after="0"/>
        <w:rPr>
          <w:sz w:val="20"/>
          <w:szCs w:val="20"/>
          <w:color w:val="auto"/>
        </w:rPr>
      </w:pPr>
      <w:r>
        <w:rPr>
          <w:rFonts w:ascii="Arial" w:cs="Arial" w:eastAsia="Arial" w:hAnsi="Arial"/>
          <w:sz w:val="13"/>
          <w:szCs w:val="13"/>
          <w:color w:val="auto"/>
        </w:rPr>
        <w:t>18537 Piraeus</w:t>
      </w:r>
    </w:p>
    <w:p>
      <w:pPr>
        <w:jc w:val="center"/>
        <w:spacing w:after="0"/>
        <w:rPr>
          <w:sz w:val="20"/>
          <w:szCs w:val="20"/>
          <w:color w:val="auto"/>
        </w:rPr>
      </w:pPr>
      <w:r>
        <w:rPr>
          <w:rFonts w:ascii="Arial" w:cs="Arial" w:eastAsia="Arial" w:hAnsi="Arial"/>
          <w:sz w:val="13"/>
          <w:szCs w:val="13"/>
          <w:color w:val="auto"/>
        </w:rPr>
        <w:t>Greece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Alexandros Laios, General Counsel</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GasLog LNG Services Ltd</w:t>
      </w:r>
    </w:p>
    <w:p>
      <w:pPr>
        <w:jc w:val="center"/>
        <w:spacing w:after="0"/>
        <w:rPr>
          <w:sz w:val="20"/>
          <w:szCs w:val="20"/>
          <w:color w:val="auto"/>
        </w:rPr>
      </w:pPr>
      <w:r>
        <w:rPr>
          <w:rFonts w:ascii="Arial" w:cs="Arial" w:eastAsia="Arial" w:hAnsi="Arial"/>
          <w:sz w:val="13"/>
          <w:szCs w:val="13"/>
          <w:color w:val="auto"/>
        </w:rPr>
        <w:t>69 Akti Miaouli</w:t>
      </w:r>
    </w:p>
    <w:p>
      <w:pPr>
        <w:jc w:val="center"/>
        <w:spacing w:after="0"/>
        <w:rPr>
          <w:sz w:val="20"/>
          <w:szCs w:val="20"/>
          <w:color w:val="auto"/>
        </w:rPr>
      </w:pPr>
      <w:r>
        <w:rPr>
          <w:rFonts w:ascii="Arial" w:cs="Arial" w:eastAsia="Arial" w:hAnsi="Arial"/>
          <w:sz w:val="13"/>
          <w:szCs w:val="13"/>
          <w:color w:val="auto"/>
        </w:rPr>
        <w:t>18537 Piraeus</w:t>
      </w:r>
    </w:p>
    <w:p>
      <w:pPr>
        <w:jc w:val="center"/>
        <w:spacing w:after="0"/>
        <w:rPr>
          <w:sz w:val="20"/>
          <w:szCs w:val="20"/>
          <w:color w:val="auto"/>
        </w:rPr>
      </w:pPr>
      <w:r>
        <w:rPr>
          <w:rFonts w:ascii="Arial" w:cs="Arial" w:eastAsia="Arial" w:hAnsi="Arial"/>
          <w:sz w:val="13"/>
          <w:szCs w:val="13"/>
          <w:color w:val="auto"/>
        </w:rPr>
        <w:t>Greece</w:t>
      </w:r>
    </w:p>
    <w:p>
      <w:pPr>
        <w:jc w:val="center"/>
        <w:spacing w:after="0"/>
        <w:rPr>
          <w:sz w:val="20"/>
          <w:szCs w:val="20"/>
          <w:color w:val="auto"/>
        </w:rPr>
      </w:pPr>
      <w:r>
        <w:rPr>
          <w:rFonts w:ascii="Arial" w:cs="Arial" w:eastAsia="Arial" w:hAnsi="Arial"/>
          <w:sz w:val="13"/>
          <w:szCs w:val="13"/>
          <w:color w:val="auto"/>
        </w:rPr>
        <w:t>Telephone: +30 210 459 1000 Facsimile: +30 210 459 1242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440" w:type="dxa"/>
            <w:vAlign w:val="bottom"/>
            <w:gridSpan w:val="5"/>
          </w:tcPr>
          <w:p>
            <w:pP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tc>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51"/>
        </w:trPr>
        <w:tc>
          <w:tcPr>
            <w:tcW w:w="5020" w:type="dxa"/>
            <w:vAlign w:val="bottom"/>
            <w:gridSpan w:val="3"/>
          </w:tcPr>
          <w:p>
            <w:pPr>
              <w:jc w:val="center"/>
              <w:ind w:right="1180"/>
              <w:spacing w:after="0"/>
              <w:rPr>
                <w:sz w:val="20"/>
                <w:szCs w:val="20"/>
                <w:color w:val="auto"/>
              </w:rPr>
            </w:pPr>
            <w:r>
              <w:rPr>
                <w:rFonts w:ascii="Arial" w:cs="Arial" w:eastAsia="Arial" w:hAnsi="Arial"/>
                <w:sz w:val="13"/>
                <w:szCs w:val="13"/>
                <w:b w:val="1"/>
                <w:bCs w:val="1"/>
                <w:color w:val="auto"/>
                <w:w w:val="93"/>
              </w:rPr>
              <w:t>Title of Each Class</w:t>
            </w:r>
          </w:p>
        </w:tc>
        <w:tc>
          <w:tcPr>
            <w:tcW w:w="242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2"/>
              </w:rPr>
              <w:t>Trading Symbols</w:t>
            </w:r>
          </w:p>
        </w:tc>
        <w:tc>
          <w:tcPr>
            <w:tcW w:w="342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380" w:type="dxa"/>
            <w:vAlign w:val="bottom"/>
          </w:tcPr>
          <w:p>
            <w:pPr>
              <w:spacing w:after="0"/>
              <w:rPr>
                <w:sz w:val="24"/>
                <w:szCs w:val="24"/>
                <w:color w:val="auto"/>
              </w:rPr>
            </w:pPr>
          </w:p>
        </w:tc>
      </w:tr>
      <w:tr>
        <w:trPr>
          <w:trHeight w:val="131"/>
        </w:trPr>
        <w:tc>
          <w:tcPr>
            <w:tcW w:w="3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Common Shares, $0.01 par value per share</w:t>
            </w:r>
          </w:p>
        </w:tc>
        <w:tc>
          <w:tcPr>
            <w:tcW w:w="3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center"/>
              <w:ind w:right="793"/>
              <w:spacing w:after="0" w:line="131" w:lineRule="exact"/>
              <w:rPr>
                <w:sz w:val="20"/>
                <w:szCs w:val="20"/>
                <w:color w:val="auto"/>
              </w:rPr>
            </w:pPr>
            <w:r>
              <w:rPr>
                <w:rFonts w:ascii="Arial" w:cs="Arial" w:eastAsia="Arial" w:hAnsi="Arial"/>
                <w:sz w:val="13"/>
                <w:szCs w:val="13"/>
                <w:color w:val="auto"/>
              </w:rPr>
              <w:t>GLOG</w:t>
            </w:r>
          </w:p>
        </w:tc>
        <w:tc>
          <w:tcPr>
            <w:tcW w:w="380" w:type="dxa"/>
            <w:vAlign w:val="bottom"/>
          </w:tcPr>
          <w:p>
            <w:pPr>
              <w:spacing w:after="0"/>
              <w:rPr>
                <w:sz w:val="11"/>
                <w:szCs w:val="11"/>
                <w:color w:val="auto"/>
              </w:rPr>
            </w:pPr>
          </w:p>
        </w:tc>
        <w:tc>
          <w:tcPr>
            <w:tcW w:w="3420" w:type="dxa"/>
            <w:vAlign w:val="bottom"/>
            <w:tcBorders>
              <w:top w:val="single" w:sz="8" w:color="auto"/>
            </w:tcBorders>
          </w:tcPr>
          <w:p>
            <w:pPr>
              <w:jc w:val="center"/>
              <w:ind w:left="293"/>
              <w:spacing w:after="0" w:line="131" w:lineRule="exact"/>
              <w:rPr>
                <w:sz w:val="20"/>
                <w:szCs w:val="20"/>
                <w:color w:val="auto"/>
              </w:rPr>
            </w:pPr>
            <w:r>
              <w:rPr>
                <w:rFonts w:ascii="Arial" w:cs="Arial" w:eastAsia="Arial" w:hAnsi="Arial"/>
                <w:sz w:val="13"/>
                <w:szCs w:val="13"/>
                <w:color w:val="auto"/>
                <w:w w:val="94"/>
              </w:rPr>
              <w:t>New York Stock Exchange</w:t>
            </w:r>
          </w:p>
        </w:tc>
        <w:tc>
          <w:tcPr>
            <w:tcW w:w="380" w:type="dxa"/>
            <w:vAlign w:val="bottom"/>
            <w:tcBorders>
              <w:top w:val="single" w:sz="8" w:color="auto"/>
            </w:tcBorders>
          </w:tcPr>
          <w:p>
            <w:pPr>
              <w:spacing w:after="0"/>
              <w:rPr>
                <w:sz w:val="11"/>
                <w:szCs w:val="11"/>
                <w:color w:val="auto"/>
              </w:rPr>
            </w:pPr>
          </w:p>
        </w:tc>
      </w:tr>
      <w:tr>
        <w:trPr>
          <w:trHeight w:val="172"/>
        </w:trPr>
        <w:tc>
          <w:tcPr>
            <w:tcW w:w="5020" w:type="dxa"/>
            <w:vAlign w:val="bottom"/>
            <w:gridSpan w:val="3"/>
          </w:tcPr>
          <w:p>
            <w:pPr>
              <w:jc w:val="center"/>
              <w:ind w:right="1200"/>
              <w:spacing w:after="0"/>
              <w:rPr>
                <w:sz w:val="20"/>
                <w:szCs w:val="20"/>
                <w:color w:val="auto"/>
              </w:rPr>
            </w:pPr>
            <w:r>
              <w:rPr>
                <w:rFonts w:ascii="Arial" w:cs="Arial" w:eastAsia="Arial" w:hAnsi="Arial"/>
                <w:sz w:val="13"/>
                <w:szCs w:val="13"/>
                <w:color w:val="auto"/>
                <w:w w:val="91"/>
              </w:rPr>
              <w:t>Series A Preference Shares, $0.01 par value per share</w:t>
            </w:r>
          </w:p>
        </w:tc>
        <w:tc>
          <w:tcPr>
            <w:tcW w:w="2420" w:type="dxa"/>
            <w:vAlign w:val="bottom"/>
            <w:gridSpan w:val="2"/>
          </w:tcPr>
          <w:p>
            <w:pPr>
              <w:jc w:val="center"/>
              <w:ind w:right="1240"/>
              <w:spacing w:after="0"/>
              <w:rPr>
                <w:sz w:val="20"/>
                <w:szCs w:val="20"/>
                <w:color w:val="auto"/>
              </w:rPr>
            </w:pPr>
            <w:r>
              <w:rPr>
                <w:rFonts w:ascii="Arial" w:cs="Arial" w:eastAsia="Arial" w:hAnsi="Arial"/>
                <w:sz w:val="13"/>
                <w:szCs w:val="13"/>
                <w:color w:val="auto"/>
                <w:w w:val="97"/>
              </w:rPr>
              <w:t>GLOG PR A</w:t>
            </w:r>
          </w:p>
        </w:tc>
        <w:tc>
          <w:tcPr>
            <w:tcW w:w="3420" w:type="dxa"/>
            <w:vAlign w:val="bottom"/>
          </w:tcPr>
          <w:p>
            <w:pPr>
              <w:jc w:val="center"/>
              <w:ind w:left="293"/>
              <w:spacing w:after="0"/>
              <w:rPr>
                <w:sz w:val="20"/>
                <w:szCs w:val="20"/>
                <w:color w:val="auto"/>
              </w:rPr>
            </w:pPr>
            <w:r>
              <w:rPr>
                <w:rFonts w:ascii="Arial" w:cs="Arial" w:eastAsia="Arial" w:hAnsi="Arial"/>
                <w:sz w:val="13"/>
                <w:szCs w:val="13"/>
                <w:color w:val="auto"/>
                <w:w w:val="94"/>
              </w:rPr>
              <w:t>New York Stock Exchange</w:t>
            </w:r>
          </w:p>
        </w:tc>
        <w:tc>
          <w:tcPr>
            <w:tcW w:w="380" w:type="dxa"/>
            <w:vAlign w:val="bottom"/>
          </w:tcPr>
          <w:p>
            <w:pPr>
              <w:spacing w:after="0"/>
              <w:rPr>
                <w:sz w:val="14"/>
                <w:szCs w:val="14"/>
                <w:color w:val="auto"/>
              </w:rPr>
            </w:pPr>
          </w:p>
        </w:tc>
      </w:tr>
      <w:tr>
        <w:trPr>
          <w:trHeight w:val="364"/>
        </w:trPr>
        <w:tc>
          <w:tcPr>
            <w:tcW w:w="50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5"/>
        </w:trPr>
        <w:tc>
          <w:tcPr>
            <w:tcW w:w="7440" w:type="dxa"/>
            <w:vAlign w:val="bottom"/>
            <w:gridSpan w:val="5"/>
          </w:tcPr>
          <w:p>
            <w:pPr>
              <w:spacing w:after="0"/>
              <w:rPr>
                <w:sz w:val="20"/>
                <w:szCs w:val="20"/>
                <w:color w:val="auto"/>
              </w:rPr>
            </w:pPr>
            <w:r>
              <w:rPr>
                <w:rFonts w:ascii="Arial" w:cs="Arial" w:eastAsia="Arial" w:hAnsi="Arial"/>
                <w:sz w:val="13"/>
                <w:szCs w:val="13"/>
                <w:b w:val="1"/>
                <w:bCs w:val="1"/>
                <w:color w:val="auto"/>
              </w:rPr>
              <w:t xml:space="preserve">SECURITIES FOR WHICH THERE IS A REPORTING OBLIGATION PURSUANT TO SECTION 15(d) OF THE ACT: </w:t>
            </w:r>
            <w:r>
              <w:rPr>
                <w:rFonts w:ascii="Arial" w:cs="Arial" w:eastAsia="Arial" w:hAnsi="Arial"/>
                <w:sz w:val="13"/>
                <w:szCs w:val="13"/>
                <w:color w:val="auto"/>
              </w:rPr>
              <w:t>None</w:t>
            </w: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10860" w:type="dxa"/>
            <w:vAlign w:val="bottom"/>
            <w:gridSpan w:val="6"/>
          </w:tcPr>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tc>
        <w:tc>
          <w:tcPr>
            <w:tcW w:w="380" w:type="dxa"/>
            <w:vAlign w:val="bottom"/>
          </w:tcPr>
          <w:p>
            <w:pPr>
              <w:spacing w:after="0"/>
              <w:rPr>
                <w:sz w:val="24"/>
                <w:szCs w:val="24"/>
                <w:color w:val="auto"/>
              </w:rPr>
            </w:pPr>
          </w:p>
        </w:tc>
      </w:tr>
      <w:tr>
        <w:trPr>
          <w:trHeight w:val="364"/>
        </w:trPr>
        <w:tc>
          <w:tcPr>
            <w:tcW w:w="10860" w:type="dxa"/>
            <w:vAlign w:val="bottom"/>
            <w:gridSpan w:val="6"/>
          </w:tcPr>
          <w:p>
            <w:pPr>
              <w:spacing w:after="0"/>
              <w:rPr>
                <w:sz w:val="20"/>
                <w:szCs w:val="20"/>
                <w:color w:val="auto"/>
              </w:rPr>
            </w:pPr>
            <w:r>
              <w:rPr>
                <w:rFonts w:ascii="Arial" w:cs="Arial" w:eastAsia="Arial" w:hAnsi="Arial"/>
                <w:sz w:val="13"/>
                <w:szCs w:val="13"/>
                <w:color w:val="auto"/>
              </w:rPr>
              <w:t>As of December 31, 2020, there were 95,176,443 common shares of the Company's common stock and 4,600,000 Series A Preference Shares issued and outstanding.</w:t>
            </w:r>
          </w:p>
        </w:tc>
        <w:tc>
          <w:tcPr>
            <w:tcW w:w="380" w:type="dxa"/>
            <w:vAlign w:val="bottom"/>
          </w:tcPr>
          <w:p>
            <w:pPr>
              <w:spacing w:after="0"/>
              <w:rPr>
                <w:sz w:val="24"/>
                <w:szCs w:val="24"/>
                <w:color w:val="auto"/>
              </w:rPr>
            </w:pPr>
          </w:p>
        </w:tc>
      </w:tr>
      <w:tr>
        <w:trPr>
          <w:trHeight w:val="364"/>
        </w:trPr>
        <w:tc>
          <w:tcPr>
            <w:tcW w:w="7440" w:type="dxa"/>
            <w:vAlign w:val="bottom"/>
            <w:gridSpan w:val="5"/>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ind w:left="3040"/>
              <w:spacing w:after="0"/>
              <w:rPr>
                <w:sz w:val="20"/>
                <w:szCs w:val="20"/>
                <w:color w:val="auto"/>
              </w:rPr>
            </w:pPr>
            <w:r>
              <w:rPr>
                <w:rFonts w:ascii="Arial" w:cs="Arial" w:eastAsia="Arial" w:hAnsi="Arial"/>
                <w:sz w:val="13"/>
                <w:szCs w:val="13"/>
                <w:color w:val="auto"/>
              </w:rPr>
              <w:t>Yes o</w:t>
            </w:r>
          </w:p>
        </w:tc>
        <w:tc>
          <w:tcPr>
            <w:tcW w:w="380" w:type="dxa"/>
            <w:vAlign w:val="bottom"/>
          </w:tcPr>
          <w:p>
            <w:pPr>
              <w:ind w:left="60"/>
              <w:spacing w:after="0" w:line="150" w:lineRule="exact"/>
              <w:rPr>
                <w:sz w:val="20"/>
                <w:szCs w:val="20"/>
                <w:color w:val="auto"/>
              </w:rPr>
            </w:pPr>
            <w:r>
              <w:rPr>
                <w:rFonts w:ascii="Arial" w:cs="Arial" w:eastAsia="Arial" w:hAnsi="Arial"/>
                <w:sz w:val="13"/>
                <w:szCs w:val="13"/>
                <w:color w:val="auto"/>
                <w:w w:val="90"/>
              </w:rPr>
              <w:t xml:space="preserve">No </w:t>
            </w:r>
            <w:r>
              <w:rPr>
                <w:rFonts w:ascii="MS PGothic" w:cs="MS PGothic" w:eastAsia="MS PGothic" w:hAnsi="MS PGothic"/>
                <w:sz w:val="13"/>
                <w:szCs w:val="13"/>
                <w:color w:val="auto"/>
                <w:w w:val="90"/>
              </w:rPr>
              <w:t>☒</w:t>
            </w:r>
          </w:p>
        </w:tc>
      </w:tr>
      <w:tr>
        <w:trPr>
          <w:trHeight w:val="350"/>
        </w:trPr>
        <w:tc>
          <w:tcPr>
            <w:tcW w:w="10860" w:type="dxa"/>
            <w:vAlign w:val="bottom"/>
            <w:gridSpan w:val="6"/>
          </w:tcPr>
          <w:p>
            <w:pPr>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tc>
        <w:tc>
          <w:tcPr>
            <w:tcW w:w="380" w:type="dxa"/>
            <w:vAlign w:val="bottom"/>
          </w:tcPr>
          <w:p>
            <w:pPr>
              <w:spacing w:after="0"/>
              <w:rPr>
                <w:sz w:val="24"/>
                <w:szCs w:val="24"/>
                <w:color w:val="auto"/>
              </w:rPr>
            </w:pPr>
          </w:p>
        </w:tc>
      </w:tr>
      <w:tr>
        <w:trPr>
          <w:trHeight w:val="37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tcPr>
          <w:p>
            <w:pPr>
              <w:ind w:left="3040"/>
              <w:spacing w:after="0"/>
              <w:rPr>
                <w:sz w:val="20"/>
                <w:szCs w:val="20"/>
                <w:color w:val="auto"/>
              </w:rPr>
            </w:pPr>
            <w:r>
              <w:rPr>
                <w:rFonts w:ascii="Arial" w:cs="Arial" w:eastAsia="Arial" w:hAnsi="Arial"/>
                <w:sz w:val="13"/>
                <w:szCs w:val="13"/>
                <w:color w:val="auto"/>
              </w:rPr>
              <w:t>Yes o</w:t>
            </w:r>
          </w:p>
        </w:tc>
        <w:tc>
          <w:tcPr>
            <w:tcW w:w="380" w:type="dxa"/>
            <w:vAlign w:val="bottom"/>
          </w:tcPr>
          <w:p>
            <w:pPr>
              <w:ind w:left="60"/>
              <w:spacing w:after="0" w:line="150" w:lineRule="exact"/>
              <w:rPr>
                <w:sz w:val="20"/>
                <w:szCs w:val="20"/>
                <w:color w:val="auto"/>
              </w:rPr>
            </w:pPr>
            <w:r>
              <w:rPr>
                <w:rFonts w:ascii="Arial" w:cs="Arial" w:eastAsia="Arial" w:hAnsi="Arial"/>
                <w:sz w:val="13"/>
                <w:szCs w:val="13"/>
                <w:color w:val="auto"/>
                <w:w w:val="90"/>
              </w:rPr>
              <w:t xml:space="preserve">No </w:t>
            </w:r>
            <w:r>
              <w:rPr>
                <w:rFonts w:ascii="MS PGothic" w:cs="MS PGothic" w:eastAsia="MS PGothic" w:hAnsi="MS PGothic"/>
                <w:sz w:val="13"/>
                <w:szCs w:val="13"/>
                <w:color w:val="auto"/>
                <w:w w:val="90"/>
              </w:rPr>
              <w:t>☒</w:t>
            </w:r>
          </w:p>
        </w:tc>
      </w:tr>
    </w:tbl>
    <w:p>
      <w:pPr>
        <w:sectPr>
          <w:pgSz w:w="11900" w:h="16891" w:orient="portrait"/>
          <w:cols w:equalWidth="0" w:num="1">
            <w:col w:w="11240"/>
          </w:cols>
          <w:pgMar w:left="320" w:top="685" w:right="339" w:bottom="0" w:gutter="0" w:footer="0" w:header="0"/>
        </w:sectPr>
      </w:pPr>
    </w:p>
    <w:bookmarkStart w:id="1" w:name="page2"/>
    <w:bookmarkEnd w:id="1"/>
    <w:p>
      <w:pPr>
        <w:ind w:right="200"/>
        <w:spacing w:after="0" w:line="27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jc w:val="right"/>
        <w:spacing w:after="0" w:line="150" w:lineRule="exact"/>
        <w:tabs>
          <w:tab w:leader="none" w:pos="2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240"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7" w:lineRule="exact"/>
        <w:rPr>
          <w:sz w:val="20"/>
          <w:szCs w:val="20"/>
          <w:color w:val="auto"/>
        </w:rPr>
      </w:pPr>
    </w:p>
    <w:p>
      <w:pPr>
        <w:jc w:val="right"/>
        <w:spacing w:after="0" w:line="150" w:lineRule="exact"/>
        <w:tabs>
          <w:tab w:leader="none" w:pos="2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240"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47" w:lineRule="exact"/>
        <w:rPr>
          <w:sz w:val="20"/>
          <w:szCs w:val="20"/>
          <w:color w:val="auto"/>
        </w:rPr>
      </w:pPr>
    </w:p>
    <w:p>
      <w:pPr>
        <w:ind w:left="700"/>
        <w:spacing w:after="0" w:line="150" w:lineRule="exact"/>
        <w:tabs>
          <w:tab w:leader="none" w:pos="3660" w:val="left"/>
          <w:tab w:leader="none" w:pos="6400" w:val="left"/>
          <w:tab w:leader="none" w:pos="90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40" w:lineRule="exact"/>
        <w:rPr>
          <w:sz w:val="20"/>
          <w:szCs w:val="20"/>
          <w:color w:val="auto"/>
        </w:rPr>
      </w:pPr>
    </w:p>
    <w:p>
      <w:pPr>
        <w:ind w:right="580"/>
        <w:spacing w:after="0" w:line="271"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provided pursuant to Section 13(a) of the Exchange Act. 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15"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7" w:lineRule="exact"/>
        <w:rPr>
          <w:sz w:val="20"/>
          <w:szCs w:val="20"/>
          <w:color w:val="auto"/>
        </w:rPr>
      </w:pPr>
    </w:p>
    <w:p>
      <w:pPr>
        <w:jc w:val="right"/>
        <w:spacing w:after="0" w:line="150" w:lineRule="exact"/>
        <w:tabs>
          <w:tab w:leader="none" w:pos="2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9" w:right="339" w:bottom="1440" w:gutter="0" w:footer="0" w:header="0"/>
        </w:sectPr>
      </w:pPr>
    </w:p>
    <w:p>
      <w:pPr>
        <w:spacing w:after="0" w:line="2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U.S. GAAP o</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23" w:lineRule="exact"/>
        <w:rPr>
          <w:sz w:val="20"/>
          <w:szCs w:val="20"/>
          <w:color w:val="auto"/>
        </w:rPr>
      </w:pPr>
    </w:p>
    <w:p>
      <w:pPr>
        <w:ind w:left="40"/>
        <w:spacing w:after="0" w:line="138" w:lineRule="exact"/>
        <w:rPr>
          <w:sz w:val="20"/>
          <w:szCs w:val="20"/>
          <w:color w:val="auto"/>
        </w:rPr>
      </w:pP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Other o</w:t>
      </w:r>
    </w:p>
    <w:p>
      <w:pPr>
        <w:spacing w:after="0" w:line="360" w:lineRule="exact"/>
        <w:rPr>
          <w:sz w:val="20"/>
          <w:szCs w:val="20"/>
          <w:color w:val="auto"/>
        </w:rPr>
      </w:pPr>
    </w:p>
    <w:p>
      <w:pPr>
        <w:sectPr>
          <w:pgSz w:w="11900" w:h="16838" w:orient="portrait"/>
          <w:cols w:equalWidth="0" w:num="3">
            <w:col w:w="3460" w:space="720"/>
            <w:col w:w="5060" w:space="720"/>
            <w:col w:w="1280"/>
          </w:cols>
          <w:pgMar w:left="320" w:top="129"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3"/>
          <w:szCs w:val="13"/>
          <w:color w:val="auto"/>
        </w:rPr>
        <w:t>Item 17 o</w:t>
      </w:r>
      <w:r>
        <w:rPr>
          <w:sz w:val="20"/>
          <w:szCs w:val="20"/>
          <w:color w:val="auto"/>
        </w:rPr>
        <w:tab/>
      </w:r>
      <w:r>
        <w:rPr>
          <w:rFonts w:ascii="Arial" w:cs="Arial" w:eastAsia="Arial" w:hAnsi="Arial"/>
          <w:sz w:val="12"/>
          <w:szCs w:val="12"/>
          <w:color w:val="auto"/>
        </w:rPr>
        <w:t>Item 18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190" w:lineRule="exact"/>
        <w:rPr>
          <w:sz w:val="20"/>
          <w:szCs w:val="20"/>
          <w:color w:val="auto"/>
        </w:rPr>
      </w:pPr>
    </w:p>
    <w:p>
      <w:pPr>
        <w:ind w:left="10480"/>
        <w:spacing w:after="0" w:line="150" w:lineRule="exact"/>
        <w:tabs>
          <w:tab w:leader="none" w:pos="10900" w:val="left"/>
        </w:tabs>
        <w:rPr>
          <w:sz w:val="20"/>
          <w:szCs w:val="20"/>
          <w:color w:val="auto"/>
        </w:rPr>
      </w:pP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30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REPORT</w:t>
              </w:r>
            </w:hyperlink>
          </w:p>
        </w:tc>
        <w:tc>
          <w:tcPr>
            <w:tcW w:w="5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00" w:type="dxa"/>
            <w:vAlign w:val="bottom"/>
            <w:gridSpan w:val="4"/>
            <w:vMerge w:val="continue"/>
          </w:tcPr>
          <w:p>
            <w:pPr>
              <w:spacing w:after="0"/>
              <w:rPr>
                <w:sz w:val="17"/>
                <w:szCs w:val="17"/>
                <w:color w:val="auto"/>
              </w:rPr>
            </w:pPr>
          </w:p>
        </w:tc>
        <w:tc>
          <w:tcPr>
            <w:tcW w:w="50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STATEMENTS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iv</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w:t>
              </w:r>
            </w:hyperlink>
          </w:p>
        </w:tc>
        <w:tc>
          <w:tcPr>
            <w:tcW w:w="9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IDENTITY OF DIRECTORS, SENIOR MANAGEMENT AND ADVISERS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2.</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OFFER STATISTICS AND EXPECTED TIMETABLE</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3.</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KEY INFORMATION</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4.</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INFORMATION ON THE COMPANY</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4.A.</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UNRESOLVED STAFF COMMENTS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72</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5.</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OPERATING AND FINANCIAL REVIEW AND PROSPECTS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72</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ITEM 6.</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DIRECTORS, SENIOR MANAGEMENT AND EMPLOYEES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111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7.</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MAJOR SHAREHOLDERS AND RELATED PARTY TRANSACTIONS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118</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8.</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FINANCIAL INFORMATION</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129</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9.</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THE OFFER AND LISTING</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131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10.</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ADDITIONAL INFORMATION</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131</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ITEM 11.</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QUANTITATIVE AND QUALITATIVE DISCLOSURES ABOUT MARKET RISK</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149</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ITEM 12.</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DESCRIPTION OF SECURITIES OTHER THAN EQUITY SECURITIES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149</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PART II</w:t>
              </w:r>
            </w:hyperlink>
          </w:p>
        </w:tc>
        <w:tc>
          <w:tcPr>
            <w:tcW w:w="9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150</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13.</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DEFAULTS, DIVIDEND ARREARAGES AND DELINQUENCIES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150</w:t>
              </w:r>
            </w:hyperlink>
          </w:p>
        </w:tc>
        <w:tc>
          <w:tcPr>
            <w:tcW w:w="0" w:type="dxa"/>
            <w:vAlign w:val="bottom"/>
          </w:tcPr>
          <w:p>
            <w:pPr>
              <w:spacing w:after="0"/>
              <w:rPr>
                <w:sz w:val="1"/>
                <w:szCs w:val="1"/>
                <w:color w:val="auto"/>
              </w:rPr>
            </w:pPr>
          </w:p>
        </w:tc>
      </w:tr>
      <w:tr>
        <w:trPr>
          <w:trHeight w:val="184"/>
        </w:trPr>
        <w:tc>
          <w:tcPr>
            <w:tcW w:w="1120" w:type="dxa"/>
            <w:vAlign w:val="bottom"/>
          </w:tcPr>
          <w:p>
            <w:pPr>
              <w:spacing w:after="0" w:line="184"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14.</w:t>
              </w:r>
            </w:hyperlink>
          </w:p>
        </w:tc>
        <w:tc>
          <w:tcPr>
            <w:tcW w:w="6740" w:type="dxa"/>
            <w:vAlign w:val="bottom"/>
            <w:tcBorders>
              <w:bottom w:val="single" w:sz="8" w:color="0000EE"/>
            </w:tcBorders>
            <w:gridSpan w:val="2"/>
          </w:tcPr>
          <w:p>
            <w:pPr>
              <w:spacing w:after="0" w:line="184"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MATERIAL MODIFICATIONS TO THE RIGHTS OF SECURITY HOLDERS AND USE OF</w:t>
              </w:r>
            </w:hyperlink>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180" w:type="dxa"/>
            <w:vAlign w:val="bottom"/>
            <w:gridSpan w:val="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PROCEEDS</w:t>
              </w:r>
            </w:hyperlink>
          </w:p>
        </w:tc>
        <w:tc>
          <w:tcPr>
            <w:tcW w:w="520" w:type="dxa"/>
            <w:vAlign w:val="bottom"/>
            <w:gridSpan w:val="2"/>
          </w:tcPr>
          <w:p>
            <w:pPr>
              <w:jc w:val="right"/>
              <w:spacing w:after="0" w:line="196"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ITEM 15.</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CONTROLS AND PROCEDURES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150</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ITEM 16.</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[RESERVED]</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152</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color w:val="0000EE"/>
              </w:rPr>
            </w:pPr>
            <w:hyperlink w:anchor="page159">
              <w:r>
                <w:rPr>
                  <w:rFonts w:ascii="Arial" w:cs="Arial" w:eastAsia="Arial" w:hAnsi="Arial"/>
                  <w:sz w:val="18"/>
                  <w:szCs w:val="18"/>
                  <w:u w:val="single" w:color="auto"/>
                  <w:color w:val="0000EE"/>
                </w:rPr>
                <w:t>ITEM 16.A</w:t>
              </w:r>
              <w:r>
                <w:rPr>
                  <w:rFonts w:ascii="Arial" w:cs="Arial" w:eastAsia="Arial" w:hAnsi="Arial"/>
                  <w:sz w:val="18"/>
                  <w:szCs w:val="18"/>
                  <w:color w:val="0000EE"/>
                </w:rPr>
                <w:t>.</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AUDIT COMMITTEE FINANCIAL EXPERT</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152</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ITEM 16.B.</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CODE OF ETHICS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152</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ITEM 16.C.</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PRINCIPAL ACCOUNTANT FEES AND SERVICES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153</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color w:val="0000EE"/>
              </w:rPr>
            </w:pPr>
            <w:hyperlink w:anchor="page161">
              <w:r>
                <w:rPr>
                  <w:rFonts w:ascii="Arial" w:cs="Arial" w:eastAsia="Arial" w:hAnsi="Arial"/>
                  <w:sz w:val="18"/>
                  <w:szCs w:val="18"/>
                  <w:u w:val="single" w:color="auto"/>
                  <w:color w:val="0000EE"/>
                </w:rPr>
                <w:t>ITEM 16.D</w:t>
              </w:r>
              <w:r>
                <w:rPr>
                  <w:rFonts w:ascii="Arial" w:cs="Arial" w:eastAsia="Arial" w:hAnsi="Arial"/>
                  <w:sz w:val="18"/>
                  <w:szCs w:val="18"/>
                  <w:color w:val="0000EE"/>
                </w:rPr>
                <w:t>.</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EXEMPTIONS FROM THE LISTING STANDARDS FOR AUDIT COMMITTEES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154</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ITEM 16.E.</w:t>
              </w:r>
            </w:hyperlink>
          </w:p>
        </w:tc>
        <w:tc>
          <w:tcPr>
            <w:tcW w:w="7180" w:type="dxa"/>
            <w:vAlign w:val="bottom"/>
            <w:gridSpan w:val="3"/>
          </w:tcPr>
          <w:p>
            <w:pPr>
              <w:spacing w:after="0"/>
              <w:rPr>
                <w:rFonts w:ascii="Arial" w:cs="Arial" w:eastAsia="Arial" w:hAnsi="Arial"/>
                <w:sz w:val="18"/>
                <w:szCs w:val="18"/>
                <w:u w:val="single" w:color="auto"/>
                <w:color w:val="0000EE"/>
                <w:w w:val="95"/>
              </w:rPr>
            </w:pPr>
            <w:hyperlink w:anchor="page161">
              <w:r>
                <w:rPr>
                  <w:rFonts w:ascii="Arial" w:cs="Arial" w:eastAsia="Arial" w:hAnsi="Arial"/>
                  <w:sz w:val="18"/>
                  <w:szCs w:val="18"/>
                  <w:u w:val="single" w:color="auto"/>
                  <w:color w:val="0000EE"/>
                  <w:w w:val="95"/>
                </w:rPr>
                <w:t>PURCHASES OF EQUITY SECURITIES BY THE ISSUER AND AFFILIATED PURCHASERS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154</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ITEM 16.F.</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CHANGE IN COMPANY'S CERTIFYING ACCOUNTANT</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155</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color w:val="0000EE"/>
              </w:rPr>
            </w:pPr>
            <w:hyperlink w:anchor="page162">
              <w:r>
                <w:rPr>
                  <w:rFonts w:ascii="Arial" w:cs="Arial" w:eastAsia="Arial" w:hAnsi="Arial"/>
                  <w:sz w:val="18"/>
                  <w:szCs w:val="18"/>
                  <w:u w:val="single" w:color="auto"/>
                  <w:color w:val="0000EE"/>
                </w:rPr>
                <w:t>ITEM 16.G</w:t>
              </w:r>
              <w:r>
                <w:rPr>
                  <w:rFonts w:ascii="Arial" w:cs="Arial" w:eastAsia="Arial" w:hAnsi="Arial"/>
                  <w:sz w:val="18"/>
                  <w:szCs w:val="18"/>
                  <w:color w:val="0000EE"/>
                </w:rPr>
                <w:t>.</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CORPORATE GOVERNANCE</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155</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color w:val="0000EE"/>
              </w:rPr>
            </w:pPr>
            <w:hyperlink w:anchor="page162">
              <w:r>
                <w:rPr>
                  <w:rFonts w:ascii="Arial" w:cs="Arial" w:eastAsia="Arial" w:hAnsi="Arial"/>
                  <w:sz w:val="18"/>
                  <w:szCs w:val="18"/>
                  <w:u w:val="single" w:color="auto"/>
                  <w:color w:val="0000EE"/>
                </w:rPr>
                <w:t>ITEM 16.H</w:t>
              </w:r>
              <w:r>
                <w:rPr>
                  <w:rFonts w:ascii="Arial" w:cs="Arial" w:eastAsia="Arial" w:hAnsi="Arial"/>
                  <w:sz w:val="18"/>
                  <w:szCs w:val="18"/>
                  <w:color w:val="0000EE"/>
                </w:rPr>
                <w:t>.</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MINE SAFETY DISCLOSURE</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155</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PART III</w:t>
              </w:r>
            </w:hyperlink>
          </w:p>
        </w:tc>
        <w:tc>
          <w:tcPr>
            <w:tcW w:w="9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156</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ITEM 17.</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FINANCIAL STATEMENTS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156</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ITEM 18.</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FINANCIAL STATEMENTS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156</w:t>
              </w:r>
            </w:hyperlink>
          </w:p>
        </w:tc>
        <w:tc>
          <w:tcPr>
            <w:tcW w:w="0" w:type="dxa"/>
            <w:vAlign w:val="bottom"/>
          </w:tcPr>
          <w:p>
            <w:pPr>
              <w:spacing w:after="0"/>
              <w:rPr>
                <w:sz w:val="1"/>
                <w:szCs w:val="1"/>
                <w:color w:val="auto"/>
              </w:rPr>
            </w:pPr>
          </w:p>
        </w:tc>
      </w:tr>
      <w:tr>
        <w:trPr>
          <w:trHeight w:val="216"/>
        </w:trPr>
        <w:tc>
          <w:tcPr>
            <w:tcW w:w="112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ITEM 19.</w:t>
              </w:r>
            </w:hyperlink>
          </w:p>
        </w:tc>
        <w:tc>
          <w:tcPr>
            <w:tcW w:w="7180" w:type="dxa"/>
            <w:vAlign w:val="bottom"/>
            <w:gridSpan w:val="3"/>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EXHIBITS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156</w:t>
              </w:r>
            </w:hyperlink>
          </w:p>
        </w:tc>
        <w:tc>
          <w:tcPr>
            <w:tcW w:w="0" w:type="dxa"/>
            <w:vAlign w:val="bottom"/>
          </w:tcPr>
          <w:p>
            <w:pPr>
              <w:spacing w:after="0"/>
              <w:rPr>
                <w:sz w:val="1"/>
                <w:szCs w:val="1"/>
                <w:color w:val="auto"/>
              </w:rPr>
            </w:pPr>
          </w:p>
        </w:tc>
      </w:tr>
      <w:tr>
        <w:trPr>
          <w:trHeight w:val="222"/>
        </w:trPr>
        <w:tc>
          <w:tcPr>
            <w:tcW w:w="8300" w:type="dxa"/>
            <w:vAlign w:val="bottom"/>
            <w:gridSpan w:val="4"/>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INDEX TO CONSOLIDATED FINANCIAL STATEMENTS</w:t>
              </w:r>
            </w:hyperlink>
          </w:p>
        </w:tc>
        <w:tc>
          <w:tcPr>
            <w:tcW w:w="520" w:type="dxa"/>
            <w:vAlign w:val="bottom"/>
            <w:gridSpan w:val="2"/>
          </w:tcPr>
          <w:p>
            <w:pPr>
              <w:jc w:val="right"/>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F-1</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right="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223" w:lineRule="exact"/>
        <w:rPr>
          <w:rFonts w:ascii="Arial" w:cs="Arial" w:eastAsia="Arial" w:hAnsi="Arial"/>
          <w:sz w:val="18"/>
          <w:szCs w:val="18"/>
          <w:color w:val="auto"/>
        </w:rPr>
      </w:pPr>
    </w:p>
    <w:p>
      <w:pPr>
        <w:ind w:left="1080" w:right="440" w:hanging="532"/>
        <w:spacing w:after="0" w:line="33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"general partner" refers to GasLog Partners GP LLC, the general partner of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our wholly owned subsidiary;</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79" w:lineRule="exact"/>
        <w:rPr>
          <w:rFonts w:ascii="Arial" w:cs="Arial" w:eastAsia="Arial" w:hAnsi="Arial"/>
          <w:sz w:val="16"/>
          <w:szCs w:val="16"/>
          <w:color w:val="auto"/>
        </w:rPr>
      </w:pPr>
    </w:p>
    <w:p>
      <w:pPr>
        <w:ind w:left="1080" w:right="40" w:hanging="532"/>
        <w:spacing w:after="0" w:line="29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"Merger Agreement" refers to the agreement and plan of merger dated as of February 21, 2021, with BlackRock's Global Energy and Power Infrastructure Team (collectively, "GEPIF"), pursuant to which GEPIF will acquire all of the outstanding common shares of GasLog Ltd. that are not held by certain existing shareholders of GasLog Ltd. for a purchase price of $5.80 in cash per share (the "Transaction"). Following the consummation of the Transaction, certain existing shareholders including Blenheim Holdings Ltd. ("Blenheim Holdings"), which is wholly owned by the Livanos family, and a wholly owned affiliate of the Onassis Foundation (collectively, the "Rolling Shareholders") will continue to hold approximately 55% of the outstanding shares of GasLog Ltd. and GEPIF will hold approximately 45%;</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refers to Total Gas &amp; Power Limited—London, Meyrin—Geneva Branch,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"Cheniere" refers to Cheniere Marketing International LLP, a wholly owned subsidiary of Cheniere Energy,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"Egypt LNG" refers to Egypt LNG Shipping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"Gunvor" refers to Clearlake Shipping Pte. Ltd., a wholly owned subsidiary of Gunvor Group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"Sinolam" refers to Sinolam LNG Terminal, S.A.;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"Endesa" refers to Endesa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"Jera" refers to LNG Marine Transport Limited, the principal LNG shipping entity of Japan's Jera Co.,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"JOVO" refers to Singapore Carbon Hydrogen Energy Pte. Ltd., a wholly owned subsidiary of JOVO Group;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"CNTIC VPower" refers to CNTIC VPower Energy Ltd., an independent Chinese energy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"Glencore" refers to ST Shipping &amp; Transport Pte. Ltd., a wholly owned subsidiary of Glencore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"Sea 190 Leasing" refers to Sea 190 Leasing Co. Limited, an indirectly owned subsidiary of CMB Financial Leasing Co. Ltd.;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"Hai Kuo Shipping" refers to Hai Kuo Shipping 2051G Limited, a wholly owned subsidiary of ICBC Financial Leasing Co., Ltd.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"Gastrade" refers to Gastrade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Cool Pool" refers to The Cool Pool Limited;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"Ceres Shipping" refers to Ceres Shipping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"dollars" and "$" refers to, and amounts are presented in,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"FSUs" refers to Floating Storage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"X-DF" refers to low pressure dual fuel two-stroke engine propulsion manufactured by Winterthur Gas &amp; Diesel;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"Dynagas" refers to Dynagas Ltd. and "Golar" refers to Golar LNG Ltd.;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"Mitsui" refers to Mitsui Co., Ltd. and "Lepta Shipping" refers to Lepta Shipping Co., Ltd., a subsidiary of Mitsui.</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20"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GasLog and GEPIF to consummate the Transaction is difficult to predict, involves uncertainties that may materially affect actual results and that may be beyond the control of GasLog and GEPIF, including, but not limited to, the satisfaction of the conditions to the closing of the Transaction or the occurrence of any event, change or other circumstance that could give rise to the termination of the Merger Agreement or cause delays in the consummation of the Transaction;</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52"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global shutdown as a result of the COVID-19 pandemic;</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disruptions resulting from measures taken to reduce the spread of COVID-19, including possible delays due to the quarantine of vessels and crew, as well as government-imposed shutdowns;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261"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22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summary consolidated financial and other data of GasLog for each of the five years in the five-year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The summary consolidated financial data of GasLog as of December 31, 2019 and 2020, and for each of the years in the three-year period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2020, is derived from our audited consolidated financial statements included in "Item 18. Financial Statements". The selected consolidated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as of December 31, 2016, 2017 and 2018, and for the years ended December 31, 2016 and 2017, is derived from our audited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financial statements which are not included in this annual report. Our consolidated financial statements are prepared and presented in accordance with IFRS,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issued by the IASB.</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3"/>
                <w:szCs w:val="13"/>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20" w:type="dxa"/>
            <w:vAlign w:val="bottom"/>
            <w:gridSpan w:val="10"/>
          </w:tcPr>
          <w:p>
            <w:pPr>
              <w:jc w:val="center"/>
              <w:spacing w:after="0" w:line="142" w:lineRule="exact"/>
              <w:rPr>
                <w:sz w:val="20"/>
                <w:szCs w:val="20"/>
                <w:color w:val="auto"/>
              </w:rPr>
            </w:pPr>
            <w:r>
              <w:rPr>
                <w:rFonts w:ascii="Arial" w:cs="Arial" w:eastAsia="Arial" w:hAnsi="Arial"/>
                <w:sz w:val="13"/>
                <w:szCs w:val="13"/>
                <w:b w:val="1"/>
                <w:bCs w:val="1"/>
                <w:color w:val="auto"/>
                <w:w w:val="92"/>
              </w:rPr>
              <w:t>(in thousands of U.S. dollars, except share and per share data)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2"/>
        </w:trPr>
        <w:tc>
          <w:tcPr>
            <w:tcW w:w="1120" w:type="dxa"/>
            <w:vAlign w:val="bottom"/>
          </w:tcPr>
          <w:p>
            <w:pPr>
              <w:spacing w:after="0"/>
              <w:rPr>
                <w:sz w:val="17"/>
                <w:szCs w:val="17"/>
                <w:color w:val="auto"/>
              </w:rPr>
            </w:pPr>
          </w:p>
        </w:tc>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PROFIT OR LOSS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466,059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525,229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618,344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668,637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674,089</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(15,404)</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16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(23,772)</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(21,883)</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Vessel operating and supervision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(122,486)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(139,662)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(148,235)</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(137,187)</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(153,193)</w:t>
            </w:r>
          </w:p>
        </w:tc>
        <w:tc>
          <w:tcPr>
            <w:tcW w:w="16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(168,041)</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(177,213)</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(47,385)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(47,249)</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8"/>
              </w:rPr>
              <w:t>Loss on disposal of non-current assets</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 on vessels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(162,149)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(28,627)</w:t>
            </w:r>
          </w:p>
        </w:tc>
        <w:tc>
          <w:tcPr>
            <w:tcW w:w="1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292,518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123,364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250,310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(139,181)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(166,627)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(190,481)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(165,281)</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5,318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derivatives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(55,441)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(84,658)</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Share of profit of associates</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2,192</w:t>
            </w:r>
          </w:p>
        </w:tc>
        <w:tc>
          <w:tcPr>
            <w:tcW w:w="116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(148,593)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(133,347)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(166,120)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(238,977)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(247,021)</w:t>
            </w:r>
          </w:p>
        </w:tc>
        <w:tc>
          <w:tcPr>
            <w:tcW w:w="1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(115,613</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(Loss)/profit attributable to owners of the</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224"/>
        </w:trPr>
        <w:tc>
          <w:tcPr>
            <w:tcW w:w="11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15,506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(100,661)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116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Profit/(loss) attributable to non-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49,537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68,703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78,715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(14,952)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48,237</w:t>
            </w:r>
          </w:p>
        </w:tc>
        <w:tc>
          <w:tcPr>
            <w:tcW w:w="116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(Loss)/earnings per share ("EPS"),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EPS,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80,534,702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80,622,788</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80,792,837</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3"/>
              </w:rPr>
              <w:t>80,849,818</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88,011,160</w:t>
            </w:r>
          </w:p>
        </w:tc>
        <w:tc>
          <w:tcPr>
            <w:tcW w:w="116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80,534,702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81,266,130</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81,637,022</w:t>
            </w:r>
          </w:p>
        </w:tc>
        <w:tc>
          <w:tcPr>
            <w:tcW w:w="160" w:type="dxa"/>
            <w:vAlign w:val="bottom"/>
          </w:tcPr>
          <w:p>
            <w:pPr>
              <w:spacing w:after="0"/>
              <w:rPr>
                <w:sz w:val="19"/>
                <w:szCs w:val="19"/>
                <w:color w:val="auto"/>
              </w:rPr>
            </w:pP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w w:val="93"/>
              </w:rPr>
              <w:t>80,849,818</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88,011,160</w:t>
            </w:r>
          </w:p>
        </w:tc>
        <w:tc>
          <w:tcPr>
            <w:tcW w:w="116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3"/>
              </w:rPr>
              <w:t>Dividends declared per preference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8"/>
              <w:spacing w:after="0"/>
              <w:rPr>
                <w:sz w:val="20"/>
                <w:szCs w:val="20"/>
                <w:color w:val="auto"/>
              </w:rPr>
            </w:pPr>
            <w:r>
              <w:rPr>
                <w:rFonts w:ascii="Arial" w:cs="Arial" w:eastAsia="Arial" w:hAnsi="Arial"/>
                <w:sz w:val="18"/>
                <w:szCs w:val="18"/>
                <w:color w:val="auto"/>
              </w:rPr>
              <w:t>2.19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Special dividends declared per common</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430"/>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654"/>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w w:val="92"/>
              </w:rPr>
              <w:t>As of December 31,</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53"/>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13"/>
              <w:spacing w:after="0" w:line="142" w:lineRule="exact"/>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7"/>
          </w:tcPr>
          <w:p>
            <w:pPr>
              <w:spacing w:after="0" w:line="142" w:lineRule="exact"/>
              <w:rPr>
                <w:sz w:val="20"/>
                <w:szCs w:val="20"/>
                <w:color w:val="auto"/>
              </w:rPr>
            </w:pPr>
            <w:r>
              <w:rPr>
                <w:rFonts w:ascii="Arial" w:cs="Arial" w:eastAsia="Arial" w:hAnsi="Arial"/>
                <w:sz w:val="13"/>
                <w:szCs w:val="13"/>
                <w:b w:val="1"/>
                <w:bCs w:val="1"/>
                <w:color w:val="auto"/>
                <w:w w:val="95"/>
              </w:rPr>
              <w:t>thousands of U.S.</w:t>
            </w:r>
          </w:p>
        </w:tc>
        <w:tc>
          <w:tcPr>
            <w:tcW w:w="660" w:type="dxa"/>
            <w:vAlign w:val="bottom"/>
            <w:gridSpan w:val="6"/>
          </w:tcPr>
          <w:p>
            <w:pPr>
              <w:jc w:val="right"/>
              <w:ind w:right="213"/>
              <w:spacing w:after="0" w:line="142" w:lineRule="exact"/>
              <w:rPr>
                <w:sz w:val="20"/>
                <w:szCs w:val="20"/>
                <w:color w:val="auto"/>
              </w:rPr>
            </w:pPr>
            <w:r>
              <w:rPr>
                <w:rFonts w:ascii="Arial" w:cs="Arial" w:eastAsia="Arial" w:hAnsi="Arial"/>
                <w:sz w:val="13"/>
                <w:szCs w:val="13"/>
                <w:b w:val="1"/>
                <w:bCs w:val="1"/>
                <w:color w:val="auto"/>
                <w:w w:val="76"/>
              </w:rPr>
              <w:t>dollars)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2"/>
        </w:trPr>
        <w:tc>
          <w:tcPr>
            <w:tcW w:w="1120" w:type="dxa"/>
            <w:vAlign w:val="bottom"/>
          </w:tcPr>
          <w:p>
            <w:pPr>
              <w:spacing w:after="0"/>
              <w:rPr>
                <w:sz w:val="17"/>
                <w:szCs w:val="17"/>
                <w:color w:val="auto"/>
              </w:rPr>
            </w:pPr>
          </w:p>
        </w:tc>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left w:val="single" w:sz="8" w:color="CCEEFF"/>
            </w:tcBorders>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POSITION DATA</w:t>
            </w: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left w:val="single" w:sz="8" w:color="CCEEFF"/>
            </w:tcBorders>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227,024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384,092</w:t>
            </w:r>
          </w:p>
        </w:tc>
        <w:tc>
          <w:tcPr>
            <w:tcW w:w="320" w:type="dxa"/>
            <w:vAlign w:val="bottom"/>
            <w:gridSpan w:val="3"/>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rPr>
              <w:t>342,594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263,747</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367,269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4,500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CCEEFF"/>
            </w:tcBorders>
          </w:tcPr>
          <w:p>
            <w:pPr>
              <w:spacing w:after="0"/>
              <w:rPr>
                <w:sz w:val="18"/>
                <w:szCs w:val="18"/>
                <w:color w:val="auto"/>
              </w:rPr>
            </w:pPr>
          </w:p>
        </w:tc>
      </w:tr>
      <w:tr>
        <w:trPr>
          <w:trHeight w:val="257"/>
        </w:trPr>
        <w:tc>
          <w:tcPr>
            <w:tcW w:w="1120" w:type="dxa"/>
            <w:vAlign w:val="bottom"/>
          </w:tcPr>
          <w:p>
            <w:pPr>
              <w:spacing w:after="0"/>
              <w:rPr>
                <w:sz w:val="22"/>
                <w:szCs w:val="22"/>
                <w:color w:val="auto"/>
              </w:rPr>
            </w:pPr>
          </w:p>
        </w:tc>
        <w:tc>
          <w:tcPr>
            <w:tcW w:w="3620" w:type="dxa"/>
            <w:vAlign w:val="bottom"/>
          </w:tcPr>
          <w:p>
            <w:pPr>
              <w:ind w:left="20"/>
              <w:spacing w:after="0" w:line="256" w:lineRule="exact"/>
              <w:rPr>
                <w:sz w:val="20"/>
                <w:szCs w:val="20"/>
                <w:color w:val="auto"/>
              </w:rPr>
            </w:pPr>
            <w:r>
              <w:rPr>
                <w:rFonts w:ascii="Arial" w:cs="Arial" w:eastAsia="Arial" w:hAnsi="Arial"/>
                <w:sz w:val="18"/>
                <w:szCs w:val="18"/>
                <w:color w:val="auto"/>
              </w:rPr>
              <w:t>Investment in associates</w:t>
            </w:r>
            <w:r>
              <w:rPr>
                <w:rFonts w:ascii="Arial" w:cs="Arial" w:eastAsia="Arial" w:hAnsi="Arial"/>
                <w:sz w:val="29"/>
                <w:szCs w:val="29"/>
                <w:color w:val="auto"/>
                <w:vertAlign w:val="superscript"/>
              </w:rPr>
              <w:t>(1)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6,265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3"/>
              </w:rPr>
              <w:t>20,800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rPr>
              <w:t>20,713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21,620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21,759</w:t>
            </w:r>
          </w:p>
        </w:tc>
        <w:tc>
          <w:tcPr>
            <w:tcW w:w="1140" w:type="dxa"/>
            <w:vAlign w:val="bottom"/>
          </w:tcPr>
          <w:p>
            <w:pPr>
              <w:spacing w:after="0"/>
              <w:rPr>
                <w:sz w:val="22"/>
                <w:szCs w:val="22"/>
                <w:color w:val="auto"/>
              </w:rPr>
            </w:pPr>
          </w:p>
        </w:tc>
      </w:tr>
      <w:tr>
        <w:trPr>
          <w:trHeight w:val="256"/>
        </w:trPr>
        <w:tc>
          <w:tcPr>
            <w:tcW w:w="1120" w:type="dxa"/>
            <w:vAlign w:val="bottom"/>
          </w:tcPr>
          <w:p>
            <w:pPr>
              <w:spacing w:after="0"/>
              <w:rPr>
                <w:sz w:val="22"/>
                <w:szCs w:val="22"/>
                <w:color w:val="auto"/>
              </w:rPr>
            </w:pPr>
          </w:p>
        </w:tc>
        <w:tc>
          <w:tcPr>
            <w:tcW w:w="3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Tangible fixed assets</w:t>
            </w:r>
            <w:r>
              <w:rPr>
                <w:rFonts w:ascii="Arial" w:cs="Arial" w:eastAsia="Arial" w:hAnsi="Arial"/>
                <w:sz w:val="29"/>
                <w:szCs w:val="29"/>
                <w:color w:val="auto"/>
                <w:vertAlign w:val="superscript"/>
              </w:rPr>
              <w:t>(2)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3,889,047</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3,772,566</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w w:val="87"/>
              </w:rPr>
              <w:t>4,323,582</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9"/>
              </w:rPr>
              <w:t>4,427,065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7"/>
              </w:rPr>
              <w:t>5,028,509</w:t>
            </w:r>
          </w:p>
        </w:tc>
        <w:tc>
          <w:tcPr>
            <w:tcW w:w="1140" w:type="dxa"/>
            <w:vAlign w:val="bottom"/>
            <w:tcBorders>
              <w:left w:val="single" w:sz="8" w:color="CCEEFF"/>
            </w:tcBorders>
          </w:tcPr>
          <w:p>
            <w:pPr>
              <w:spacing w:after="0"/>
              <w:rPr>
                <w:sz w:val="22"/>
                <w:szCs w:val="22"/>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Vessels under construction</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96,356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166,655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rPr>
              <w:t>159,275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203,323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132,839</w:t>
            </w:r>
          </w:p>
        </w:tc>
        <w:tc>
          <w:tcPr>
            <w:tcW w:w="1140" w:type="dxa"/>
            <w:vAlign w:val="bottom"/>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3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Right-of-use assets</w:t>
            </w:r>
            <w:r>
              <w:rPr>
                <w:rFonts w:ascii="Arial" w:cs="Arial" w:eastAsia="Arial" w:hAnsi="Arial"/>
                <w:sz w:val="29"/>
                <w:szCs w:val="29"/>
                <w:color w:val="auto"/>
                <w:vertAlign w:val="superscript"/>
              </w:rPr>
              <w:t>(3)</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222,004</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214,329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206,753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206,495</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203,437</w:t>
            </w:r>
          </w:p>
        </w:tc>
        <w:tc>
          <w:tcPr>
            <w:tcW w:w="1140" w:type="dxa"/>
            <w:vAlign w:val="bottom"/>
            <w:tcBorders>
              <w:left w:val="single" w:sz="8" w:color="CCEEFF"/>
            </w:tcBorders>
          </w:tcPr>
          <w:p>
            <w:pPr>
              <w:spacing w:after="0"/>
              <w:rPr>
                <w:sz w:val="22"/>
                <w:szCs w:val="22"/>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4,515,164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4,634,891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w w:val="87"/>
              </w:rPr>
              <w:t>5,174,807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5,223,195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w w:val="87"/>
              </w:rPr>
              <w:t>5,856,763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current portion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147,448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179,367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520,550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255,422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245,626</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Borrowings, non-current portion</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2,504,578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87"/>
              </w:rPr>
              <w:t>2,368,189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w w:val="87"/>
              </w:rPr>
              <w:t>2,307,909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2,891,973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w w:val="87"/>
              </w:rPr>
              <w:t>3,527,595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current portion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6,675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9,363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9,644</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Lease liability, non-current portion</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214,455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207,126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rPr>
              <w:t>199,424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195,567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186,526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Preference Shares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owners of the Group</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945,643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918,029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879,742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688,335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645,369</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564,039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845,105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ind w:right="53"/>
              <w:spacing w:after="0"/>
              <w:rPr>
                <w:sz w:val="20"/>
                <w:szCs w:val="20"/>
                <w:color w:val="auto"/>
              </w:rPr>
            </w:pPr>
            <w:r>
              <w:rPr>
                <w:rFonts w:ascii="Arial" w:cs="Arial" w:eastAsia="Arial" w:hAnsi="Arial"/>
                <w:sz w:val="18"/>
                <w:szCs w:val="18"/>
                <w:color w:val="auto"/>
                <w:w w:val="87"/>
              </w:rPr>
              <w:t>1,103,380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961,518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951,768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1,509,682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1,763,134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w w:val="87"/>
              </w:rPr>
              <w:t>1,983,122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9"/>
              </w:rPr>
              <w:t>1,649,853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7"/>
              </w:rPr>
              <w:t>1,597,137</w:t>
            </w:r>
          </w:p>
        </w:tc>
        <w:tc>
          <w:tcPr>
            <w:tcW w:w="1140" w:type="dxa"/>
            <w:vAlign w:val="bottom"/>
            <w:tcBorders>
              <w:left w:val="single" w:sz="8" w:color="CCEEFF"/>
            </w:tcBorders>
          </w:tcPr>
          <w:p>
            <w:pPr>
              <w:spacing w:after="0"/>
              <w:rPr>
                <w:sz w:val="18"/>
                <w:szCs w:val="18"/>
                <w:color w:val="auto"/>
              </w:rPr>
            </w:pPr>
          </w:p>
        </w:tc>
      </w:tr>
      <w:tr>
        <w:trPr>
          <w:trHeight w:val="851"/>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2"/>
          </w:tcPr>
          <w:p>
            <w:pPr>
              <w:jc w:val="right"/>
              <w:ind w:right="93"/>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33"/>
              <w:spacing w:after="0" w:line="142" w:lineRule="exact"/>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4"/>
          </w:tcPr>
          <w:p>
            <w:pPr>
              <w:ind w:left="180"/>
              <w:spacing w:after="0" w:line="142" w:lineRule="exact"/>
              <w:rPr>
                <w:sz w:val="20"/>
                <w:szCs w:val="20"/>
                <w:color w:val="auto"/>
              </w:rPr>
            </w:pPr>
            <w:r>
              <w:rPr>
                <w:rFonts w:ascii="Arial" w:cs="Arial" w:eastAsia="Arial" w:hAnsi="Arial"/>
                <w:sz w:val="13"/>
                <w:szCs w:val="13"/>
                <w:b w:val="1"/>
                <w:bCs w:val="1"/>
                <w:color w:val="auto"/>
              </w:rPr>
              <w:t>(in</w:t>
            </w:r>
          </w:p>
        </w:tc>
        <w:tc>
          <w:tcPr>
            <w:tcW w:w="1020" w:type="dxa"/>
            <w:vAlign w:val="bottom"/>
            <w:gridSpan w:val="6"/>
          </w:tcPr>
          <w:p>
            <w:pPr>
              <w:jc w:val="right"/>
              <w:ind w:right="20"/>
              <w:spacing w:after="0" w:line="142" w:lineRule="exact"/>
              <w:rPr>
                <w:sz w:val="20"/>
                <w:szCs w:val="20"/>
                <w:color w:val="auto"/>
              </w:rPr>
            </w:pPr>
            <w:r>
              <w:rPr>
                <w:rFonts w:ascii="Arial" w:cs="Arial" w:eastAsia="Arial" w:hAnsi="Arial"/>
                <w:sz w:val="13"/>
                <w:szCs w:val="13"/>
                <w:b w:val="1"/>
                <w:bCs w:val="1"/>
                <w:color w:val="auto"/>
                <w:w w:val="88"/>
              </w:rPr>
              <w:t>thousands of U.S.</w:t>
            </w:r>
          </w:p>
        </w:tc>
        <w:tc>
          <w:tcPr>
            <w:tcW w:w="520" w:type="dxa"/>
            <w:vAlign w:val="bottom"/>
            <w:gridSpan w:val="4"/>
          </w:tcPr>
          <w:p>
            <w:pPr>
              <w:jc w:val="right"/>
              <w:ind w:right="13"/>
              <w:spacing w:after="0" w:line="142" w:lineRule="exact"/>
              <w:rPr>
                <w:sz w:val="20"/>
                <w:szCs w:val="20"/>
                <w:color w:val="auto"/>
              </w:rPr>
            </w:pPr>
            <w:r>
              <w:rPr>
                <w:rFonts w:ascii="Arial" w:cs="Arial" w:eastAsia="Arial" w:hAnsi="Arial"/>
                <w:sz w:val="13"/>
                <w:szCs w:val="13"/>
                <w:b w:val="1"/>
                <w:bCs w:val="1"/>
                <w:color w:val="auto"/>
                <w:w w:val="89"/>
              </w:rPr>
              <w:t>dollars)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CASH FLOW DATA</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  256,532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6"/>
          </w:tcPr>
          <w:p>
            <w:pPr>
              <w:jc w:val="right"/>
              <w:ind w:right="93"/>
              <w:spacing w:after="0"/>
              <w:rPr>
                <w:sz w:val="20"/>
                <w:szCs w:val="20"/>
                <w:color w:val="auto"/>
              </w:rPr>
            </w:pPr>
            <w:r>
              <w:rPr>
                <w:rFonts w:ascii="Arial" w:cs="Arial" w:eastAsia="Arial" w:hAnsi="Arial"/>
                <w:sz w:val="18"/>
                <w:szCs w:val="18"/>
                <w:color w:val="auto"/>
              </w:rPr>
              <w:t>223,630</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w w:val="98"/>
              </w:rPr>
              <w:t>$  283,710</w:t>
            </w:r>
          </w:p>
        </w:tc>
        <w:tc>
          <w:tcPr>
            <w:tcW w:w="100" w:type="dxa"/>
            <w:vAlign w:val="bottom"/>
          </w:tcPr>
          <w:p>
            <w:pPr>
              <w:spacing w:after="0"/>
              <w:rPr>
                <w:sz w:val="18"/>
                <w:szCs w:val="18"/>
                <w:color w:val="auto"/>
              </w:rPr>
            </w:pPr>
          </w:p>
        </w:tc>
        <w:tc>
          <w:tcPr>
            <w:tcW w:w="980" w:type="dxa"/>
            <w:vAlign w:val="bottom"/>
            <w:gridSpan w:val="6"/>
          </w:tcPr>
          <w:p>
            <w:pPr>
              <w:jc w:val="right"/>
              <w:ind w:right="80"/>
              <w:spacing w:after="0"/>
              <w:rPr>
                <w:sz w:val="20"/>
                <w:szCs w:val="20"/>
                <w:color w:val="auto"/>
              </w:rPr>
            </w:pPr>
            <w:r>
              <w:rPr>
                <w:rFonts w:ascii="Arial" w:cs="Arial" w:eastAsia="Arial" w:hAnsi="Arial"/>
                <w:sz w:val="18"/>
                <w:szCs w:val="18"/>
                <w:color w:val="auto"/>
              </w:rPr>
              <w:t>$  317,423</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288,951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gridSpan w:val="6"/>
            <w:shd w:val="clear" w:color="auto" w:fill="CCEEFF"/>
          </w:tcPr>
          <w:p>
            <w:pPr>
              <w:jc w:val="right"/>
              <w:ind w:right="14"/>
              <w:spacing w:after="0"/>
              <w:rPr>
                <w:sz w:val="20"/>
                <w:szCs w:val="20"/>
                <w:color w:val="auto"/>
              </w:rPr>
            </w:pPr>
            <w:r>
              <w:rPr>
                <w:rFonts w:ascii="Arial" w:cs="Arial" w:eastAsia="Arial" w:hAnsi="Arial"/>
                <w:sz w:val="18"/>
                <w:szCs w:val="18"/>
                <w:color w:val="auto"/>
              </w:rPr>
              <w:t>(771,242)</w:t>
            </w:r>
          </w:p>
        </w:tc>
        <w:tc>
          <w:tcPr>
            <w:tcW w:w="1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33"/>
              <w:spacing w:after="0"/>
              <w:rPr>
                <w:sz w:val="20"/>
                <w:szCs w:val="20"/>
                <w:color w:val="auto"/>
              </w:rPr>
            </w:pPr>
            <w:r>
              <w:rPr>
                <w:rFonts w:ascii="Arial" w:cs="Arial" w:eastAsia="Arial" w:hAnsi="Arial"/>
                <w:sz w:val="18"/>
                <w:szCs w:val="18"/>
                <w:color w:val="auto"/>
              </w:rPr>
              <w:t>(74,599)</w:t>
            </w: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(692,999)</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(442,978)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(729,569)</w:t>
            </w:r>
          </w:p>
        </w:tc>
        <w:tc>
          <w:tcPr>
            <w:tcW w:w="1140" w:type="dxa"/>
            <w:vAlign w:val="bottom"/>
            <w:tcBorders>
              <w:left w:val="single" w:sz="8" w:color="CCEEFF"/>
            </w:tcBorders>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gridSpan w:val="5"/>
          </w:tcPr>
          <w:p>
            <w:pPr>
              <w:jc w:val="right"/>
              <w:ind w:right="20"/>
              <w:spacing w:after="0"/>
              <w:rPr>
                <w:sz w:val="20"/>
                <w:szCs w:val="20"/>
                <w:color w:val="auto"/>
              </w:rPr>
            </w:pPr>
            <w:r>
              <w:rPr>
                <w:rFonts w:ascii="Arial" w:cs="Arial" w:eastAsia="Arial" w:hAnsi="Arial"/>
                <w:sz w:val="18"/>
                <w:szCs w:val="18"/>
                <w:color w:val="auto"/>
              </w:rPr>
              <w:t>439,766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6"/>
          </w:tcPr>
          <w:p>
            <w:pPr>
              <w:jc w:val="right"/>
              <w:ind w:right="93"/>
              <w:spacing w:after="0"/>
              <w:rPr>
                <w:sz w:val="20"/>
                <w:szCs w:val="20"/>
                <w:color w:val="auto"/>
              </w:rPr>
            </w:pPr>
            <w:r>
              <w:rPr>
                <w:rFonts w:ascii="Arial" w:cs="Arial" w:eastAsia="Arial" w:hAnsi="Arial"/>
                <w:sz w:val="18"/>
                <w:szCs w:val="18"/>
                <w:color w:val="auto"/>
              </w:rPr>
              <w:t>7,265</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368,120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w w:val="87"/>
              </w:rPr>
              <w:t>50,066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545,954</w:t>
            </w:r>
          </w:p>
        </w:tc>
        <w:tc>
          <w:tcPr>
            <w:tcW w:w="1140" w:type="dxa"/>
            <w:vAlign w:val="bottom"/>
          </w:tcPr>
          <w:p>
            <w:pPr>
              <w:spacing w:after="0"/>
              <w:rPr>
                <w:sz w:val="19"/>
                <w:szCs w:val="19"/>
                <w:color w:val="auto"/>
              </w:rPr>
            </w:pPr>
          </w:p>
        </w:tc>
      </w:tr>
      <w:tr>
        <w:trPr>
          <w:trHeight w:val="844"/>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5"/>
          </w:tcPr>
          <w:p>
            <w:pPr>
              <w:jc w:val="right"/>
              <w:ind w:right="53"/>
              <w:spacing w:after="0" w:line="142" w:lineRule="exact"/>
              <w:rPr>
                <w:sz w:val="20"/>
                <w:szCs w:val="20"/>
                <w:color w:val="auto"/>
              </w:rPr>
            </w:pPr>
            <w:r>
              <w:rPr>
                <w:rFonts w:ascii="Arial" w:cs="Arial" w:eastAsia="Arial" w:hAnsi="Arial"/>
                <w:sz w:val="13"/>
                <w:szCs w:val="13"/>
                <w:b w:val="1"/>
                <w:bCs w:val="1"/>
                <w:color w:val="auto"/>
              </w:rPr>
              <w:t>2016</w:t>
            </w:r>
          </w:p>
        </w:tc>
        <w:tc>
          <w:tcPr>
            <w:tcW w:w="680" w:type="dxa"/>
            <w:vAlign w:val="bottom"/>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53"/>
              <w:spacing w:after="0" w:line="142" w:lineRule="exact"/>
              <w:rPr>
                <w:sz w:val="20"/>
                <w:szCs w:val="20"/>
                <w:color w:val="auto"/>
              </w:rPr>
            </w:pPr>
            <w:r>
              <w:rPr>
                <w:rFonts w:ascii="Arial" w:cs="Arial" w:eastAsia="Arial" w:hAnsi="Arial"/>
                <w:sz w:val="13"/>
                <w:szCs w:val="13"/>
                <w:b w:val="1"/>
                <w:bCs w:val="1"/>
                <w:color w:val="auto"/>
                <w:w w:val="89"/>
              </w:rPr>
              <w:t>2018</w:t>
            </w:r>
          </w:p>
        </w:tc>
        <w:tc>
          <w:tcPr>
            <w:tcW w:w="580" w:type="dxa"/>
            <w:vAlign w:val="bottom"/>
            <w:gridSpan w:val="4"/>
          </w:tcPr>
          <w:p>
            <w:pPr>
              <w:jc w:val="right"/>
              <w:ind w:right="20"/>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72"/>
              <w:spacing w:after="0" w:line="142"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50"/>
        </w:trPr>
        <w:tc>
          <w:tcPr>
            <w:tcW w:w="1120" w:type="dxa"/>
            <w:vAlign w:val="bottom"/>
          </w:tcPr>
          <w:p>
            <w:pPr>
              <w:spacing w:after="0"/>
              <w:rPr>
                <w:sz w:val="21"/>
                <w:szCs w:val="21"/>
                <w:color w:val="auto"/>
              </w:rPr>
            </w:pPr>
          </w:p>
        </w:tc>
        <w:tc>
          <w:tcPr>
            <w:tcW w:w="36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FLEET DATA</w:t>
            </w:r>
            <w:r>
              <w:rPr>
                <w:rFonts w:ascii="Arial" w:cs="Arial" w:eastAsia="Arial" w:hAnsi="Arial"/>
                <w:sz w:val="28"/>
                <w:szCs w:val="28"/>
                <w:b w:val="1"/>
                <w:bCs w:val="1"/>
                <w:color w:val="auto"/>
                <w:vertAlign w:val="superscript"/>
              </w:rPr>
              <w:t>(4)</w:t>
            </w:r>
          </w:p>
        </w:tc>
        <w:tc>
          <w:tcPr>
            <w:tcW w:w="4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Number of managed ships at end of period</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780" w:type="dxa"/>
            <w:vAlign w:val="bottom"/>
            <w:gridSpan w:val="7"/>
          </w:tcPr>
          <w:p>
            <w:pPr>
              <w:jc w:val="right"/>
              <w:ind w:right="100"/>
              <w:spacing w:after="0"/>
              <w:rPr>
                <w:sz w:val="20"/>
                <w:szCs w:val="20"/>
                <w:color w:val="auto"/>
              </w:rPr>
            </w:pPr>
            <w:r>
              <w:rPr>
                <w:rFonts w:ascii="Arial" w:cs="Arial" w:eastAsia="Arial" w:hAnsi="Arial"/>
                <w:sz w:val="18"/>
                <w:szCs w:val="18"/>
                <w:color w:val="auto"/>
              </w:rPr>
              <w:t>28</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Average number of managed ships during period</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23.6</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Number of owned ships at end of period</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7"/>
          </w:tcPr>
          <w:p>
            <w:pPr>
              <w:jc w:val="right"/>
              <w:ind w:right="100"/>
              <w:spacing w:after="0"/>
              <w:rPr>
                <w:sz w:val="20"/>
                <w:szCs w:val="20"/>
                <w:color w:val="auto"/>
              </w:rPr>
            </w:pPr>
            <w:r>
              <w:rPr>
                <w:rFonts w:ascii="Arial" w:cs="Arial" w:eastAsia="Arial" w:hAnsi="Arial"/>
                <w:sz w:val="18"/>
                <w:szCs w:val="18"/>
                <w:color w:val="auto"/>
              </w:rPr>
              <w:t>27</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Average number of owned ships during period</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19.8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7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Average age of owned ships (years)</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780" w:type="dxa"/>
            <w:vAlign w:val="bottom"/>
            <w:gridSpan w:val="7"/>
          </w:tcPr>
          <w:p>
            <w:pPr>
              <w:jc w:val="right"/>
              <w:ind w:right="100"/>
              <w:spacing w:after="0"/>
              <w:rPr>
                <w:sz w:val="20"/>
                <w:szCs w:val="20"/>
                <w:color w:val="auto"/>
              </w:rPr>
            </w:pPr>
            <w:r>
              <w:rPr>
                <w:rFonts w:ascii="Arial" w:cs="Arial" w:eastAsia="Arial" w:hAnsi="Arial"/>
                <w:sz w:val="18"/>
                <w:szCs w:val="18"/>
                <w:color w:val="auto"/>
              </w:rPr>
              <w:t>6.9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calendar days for owned and bareboat fleet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9,318</w:t>
            </w:r>
          </w:p>
        </w:tc>
        <w:tc>
          <w:tcPr>
            <w:tcW w:w="7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9,934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10,973</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382"/>
        </w:trPr>
        <w:tc>
          <w:tcPr>
            <w:tcW w:w="112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18"/>
                <w:szCs w:val="18"/>
                <w:color w:val="auto"/>
                <w:w w:val="94"/>
              </w:rPr>
              <w:t>Total revenue operating days for owned and bareboat fleet</w:t>
            </w:r>
            <w:r>
              <w:rPr>
                <w:rFonts w:ascii="Arial" w:cs="Arial" w:eastAsia="Arial" w:hAnsi="Arial"/>
                <w:sz w:val="29"/>
                <w:szCs w:val="29"/>
                <w:color w:val="auto"/>
                <w:w w:val="94"/>
                <w:vertAlign w:val="superscript"/>
              </w:rPr>
              <w:t>(5)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7,439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8,317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9,030</w:t>
            </w:r>
          </w:p>
        </w:tc>
        <w:tc>
          <w:tcPr>
            <w:tcW w:w="780" w:type="dxa"/>
            <w:vAlign w:val="bottom"/>
            <w:gridSpan w:val="7"/>
          </w:tcPr>
          <w:p>
            <w:pPr>
              <w:jc w:val="right"/>
              <w:ind w:right="100"/>
              <w:spacing w:after="0"/>
              <w:rPr>
                <w:sz w:val="20"/>
                <w:szCs w:val="20"/>
                <w:color w:val="auto"/>
              </w:rPr>
            </w:pPr>
            <w:r>
              <w:rPr>
                <w:rFonts w:ascii="Arial" w:cs="Arial" w:eastAsia="Arial" w:hAnsi="Arial"/>
                <w:sz w:val="18"/>
                <w:szCs w:val="18"/>
                <w:color w:val="auto"/>
              </w:rPr>
              <w:t>9,518</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10,031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5"/>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75"/>
              </w:rPr>
              <w:t>(in</w:t>
            </w:r>
          </w:p>
        </w:tc>
        <w:tc>
          <w:tcPr>
            <w:tcW w:w="78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w w:val="90"/>
              </w:rPr>
              <w:t>thousands of</w:t>
            </w:r>
          </w:p>
        </w:tc>
        <w:tc>
          <w:tcPr>
            <w:tcW w:w="2060" w:type="dxa"/>
            <w:vAlign w:val="bottom"/>
            <w:gridSpan w:val="6"/>
          </w:tcPr>
          <w:p>
            <w:pPr>
              <w:jc w:val="right"/>
              <w:ind w:right="40"/>
              <w:spacing w:after="0" w:line="142" w:lineRule="exact"/>
              <w:rPr>
                <w:sz w:val="20"/>
                <w:szCs w:val="20"/>
                <w:color w:val="auto"/>
              </w:rPr>
            </w:pPr>
            <w:r>
              <w:rPr>
                <w:rFonts w:ascii="Arial" w:cs="Arial" w:eastAsia="Arial" w:hAnsi="Arial"/>
                <w:sz w:val="13"/>
                <w:szCs w:val="13"/>
                <w:b w:val="1"/>
                <w:bCs w:val="1"/>
                <w:color w:val="auto"/>
                <w:w w:val="92"/>
              </w:rPr>
              <w:t>U.S. dollars, except per share data)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3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(6)</w:t>
            </w:r>
          </w:p>
        </w:tc>
        <w:tc>
          <w:tcPr>
            <w:tcW w:w="940" w:type="dxa"/>
            <w:vAlign w:val="bottom"/>
            <w:gridSpan w:val="2"/>
          </w:tcPr>
          <w:p>
            <w:pPr>
              <w:jc w:val="right"/>
              <w:ind w:right="73"/>
              <w:spacing w:after="0"/>
              <w:rPr>
                <w:sz w:val="20"/>
                <w:szCs w:val="20"/>
                <w:color w:val="auto"/>
              </w:rPr>
            </w:pPr>
            <w:r>
              <w:rPr>
                <w:rFonts w:ascii="Arial" w:cs="Arial" w:eastAsia="Arial" w:hAnsi="Arial"/>
                <w:sz w:val="18"/>
                <w:szCs w:val="18"/>
                <w:color w:val="auto"/>
                <w:w w:val="91"/>
              </w:rPr>
              <w:t>$  302,386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3"/>
              <w:spacing w:after="0"/>
              <w:rPr>
                <w:sz w:val="20"/>
                <w:szCs w:val="20"/>
                <w:color w:val="auto"/>
              </w:rPr>
            </w:pPr>
            <w:r>
              <w:rPr>
                <w:rFonts w:ascii="Arial" w:cs="Arial" w:eastAsia="Arial" w:hAnsi="Arial"/>
                <w:sz w:val="18"/>
                <w:szCs w:val="18"/>
                <w:color w:val="auto"/>
                <w:w w:val="95"/>
              </w:rPr>
              <w:t>356,048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447,747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461,226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465,577</w:t>
            </w:r>
          </w:p>
        </w:tc>
      </w:tr>
      <w:tr>
        <w:trPr>
          <w:trHeight w:val="257"/>
        </w:trPr>
        <w:tc>
          <w:tcPr>
            <w:tcW w:w="43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(6)</w:t>
            </w:r>
          </w:p>
        </w:tc>
        <w:tc>
          <w:tcPr>
            <w:tcW w:w="9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fixed assets</w:t>
            </w:r>
          </w:p>
        </w:tc>
        <w:tc>
          <w:tcPr>
            <w:tcW w:w="94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761,513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82,352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673,823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480,553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732,385</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Common share dividend declared</w:t>
            </w:r>
          </w:p>
        </w:tc>
        <w:tc>
          <w:tcPr>
            <w:tcW w:w="940" w:type="dxa"/>
            <w:vAlign w:val="bottom"/>
            <w:gridSpan w:val="2"/>
          </w:tcPr>
          <w:p>
            <w:pPr>
              <w:jc w:val="right"/>
              <w:ind w:right="73"/>
              <w:spacing w:after="0"/>
              <w:rPr>
                <w:sz w:val="20"/>
                <w:szCs w:val="20"/>
                <w:color w:val="auto"/>
              </w:rPr>
            </w:pPr>
            <w:r>
              <w:rPr>
                <w:rFonts w:ascii="Arial" w:cs="Arial" w:eastAsia="Arial" w:hAnsi="Arial"/>
                <w:sz w:val="18"/>
                <w:szCs w:val="18"/>
                <w:color w:val="auto"/>
              </w:rPr>
              <w:t>45,101</w:t>
            </w:r>
          </w:p>
        </w:tc>
        <w:tc>
          <w:tcPr>
            <w:tcW w:w="160" w:type="dxa"/>
            <w:vAlign w:val="bottom"/>
          </w:tcPr>
          <w:p>
            <w:pPr>
              <w:spacing w:after="0"/>
              <w:rPr>
                <w:sz w:val="18"/>
                <w:szCs w:val="18"/>
                <w:color w:val="auto"/>
              </w:rPr>
            </w:pPr>
          </w:p>
        </w:tc>
        <w:tc>
          <w:tcPr>
            <w:tcW w:w="800" w:type="dxa"/>
            <w:vAlign w:val="bottom"/>
            <w:gridSpan w:val="2"/>
          </w:tcPr>
          <w:p>
            <w:pPr>
              <w:jc w:val="right"/>
              <w:ind w:right="93"/>
              <w:spacing w:after="0"/>
              <w:rPr>
                <w:sz w:val="20"/>
                <w:szCs w:val="20"/>
                <w:color w:val="auto"/>
              </w:rPr>
            </w:pPr>
            <w:r>
              <w:rPr>
                <w:rFonts w:ascii="Arial" w:cs="Arial" w:eastAsia="Arial" w:hAnsi="Arial"/>
                <w:sz w:val="18"/>
                <w:szCs w:val="18"/>
                <w:color w:val="auto"/>
              </w:rPr>
              <w:t>45,144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80,011</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79,247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25,635</w:t>
            </w: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Preference share dividend declared</w:t>
            </w:r>
          </w:p>
        </w:tc>
        <w:tc>
          <w:tcPr>
            <w:tcW w:w="94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10,063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10,064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10,063</w:t>
            </w:r>
          </w:p>
        </w:tc>
      </w:tr>
      <w:tr>
        <w:trPr>
          <w:trHeight w:val="108"/>
        </w:trPr>
        <w:tc>
          <w:tcPr>
            <w:tcW w:w="238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44" w:lineRule="auto"/>
        <w:tabs>
          <w:tab w:leader="none" w:pos="1680" w:val="left"/>
        </w:tabs>
        <w:numPr>
          <w:ilvl w:val="0"/>
          <w:numId w:val="8"/>
        </w:numPr>
        <w:rPr>
          <w:rFonts w:ascii="Arial" w:cs="Arial" w:eastAsia="Arial" w:hAnsi="Arial"/>
          <w:sz w:val="11"/>
          <w:szCs w:val="11"/>
          <w:color w:val="auto"/>
        </w:rPr>
      </w:pPr>
      <w:r>
        <w:rPr>
          <w:rFonts w:ascii="Arial" w:cs="Arial" w:eastAsia="Arial" w:hAnsi="Arial"/>
          <w:sz w:val="13"/>
          <w:szCs w:val="13"/>
          <w:color w:val="auto"/>
        </w:rPr>
        <w:t>Consists of our 25.0% ownership interest in Egypt LNG, our 50.0% ownership interest in the Cool Pool and our investment in Gastrade. On October 1, 2015, GasLog, Dynagas and Golar signed an LNG carrier pooling agreement to establish the Cool Pool to market their vessels operating in the LNG shipping spot market. The Cool Pool was incorporated in September 2015. In June and July 2018, Dynagas removed its three vessels from the Cool Pool and renounced its 33% ownership in the Cool Pool. On June 6, 2019, GasLog entered into a termination agreement with the Cool Pool and Golar, whereby GasLog assumed commercial control of its six vessels operating in the LNG carrier spot market through the Cool Pool at that time. Following expiry of their commitments, GasLog vessels were withdrawn from the Cool Pool in June and July 2019. Gastrade is a private limited company licensed to develop an independent natural gas system offshore Alexandroupolis in Northern Greece utilizing an FSRU along with other fixed infrastructure.</w:t>
      </w:r>
    </w:p>
    <w:p>
      <w:pPr>
        <w:spacing w:after="0" w:line="110" w:lineRule="exact"/>
        <w:rPr>
          <w:rFonts w:ascii="Arial" w:cs="Arial" w:eastAsia="Arial" w:hAnsi="Arial"/>
          <w:sz w:val="11"/>
          <w:szCs w:val="11"/>
          <w:color w:val="auto"/>
        </w:rPr>
      </w:pPr>
    </w:p>
    <w:p>
      <w:pPr>
        <w:ind w:left="1680" w:right="80" w:hanging="549"/>
        <w:spacing w:after="0" w:line="274" w:lineRule="auto"/>
        <w:tabs>
          <w:tab w:leader="none" w:pos="168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delivered ships (including dry-docking component of vessel cost) as well as office property and other tangible assets, less accumulated depreciation. See Note 6 to our consolidated financial statements included elsewhere in this annual report.</w:t>
      </w:r>
    </w:p>
    <w:p>
      <w:pPr>
        <w:spacing w:after="0" w:line="90" w:lineRule="exact"/>
        <w:rPr>
          <w:rFonts w:ascii="Arial" w:cs="Arial" w:eastAsia="Arial" w:hAnsi="Arial"/>
          <w:sz w:val="11"/>
          <w:szCs w:val="11"/>
          <w:color w:val="auto"/>
        </w:rPr>
      </w:pPr>
    </w:p>
    <w:p>
      <w:pPr>
        <w:ind w:left="1680" w:right="400" w:hanging="549"/>
        <w:spacing w:after="0" w:line="274" w:lineRule="auto"/>
        <w:tabs>
          <w:tab w:leader="none" w:pos="168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balances as of December 31, 2016, 2017 and 2018 represented the vessel held under finance lease and was included in the financial statement line "Vessel held under finance lease", which was renamed to "Right-of-use assets" as of January 1, 2019.</w:t>
      </w:r>
    </w:p>
    <w:p>
      <w:pPr>
        <w:spacing w:after="0" w:line="90" w:lineRule="exact"/>
        <w:rPr>
          <w:rFonts w:ascii="Arial" w:cs="Arial" w:eastAsia="Arial" w:hAnsi="Arial"/>
          <w:sz w:val="11"/>
          <w:szCs w:val="11"/>
          <w:color w:val="auto"/>
        </w:rPr>
      </w:pPr>
    </w:p>
    <w:p>
      <w:pPr>
        <w:ind w:left="1680" w:hanging="549"/>
        <w:spacing w:after="0" w:line="256" w:lineRule="auto"/>
        <w:tabs>
          <w:tab w:leader="none" w:pos="1680" w:val="left"/>
        </w:tabs>
        <w:numPr>
          <w:ilvl w:val="0"/>
          <w:numId w:val="8"/>
        </w:numPr>
        <w:rPr>
          <w:rFonts w:ascii="Arial" w:cs="Arial" w:eastAsia="Arial" w:hAnsi="Arial"/>
          <w:sz w:val="11"/>
          <w:szCs w:val="11"/>
          <w:color w:val="auto"/>
        </w:rPr>
      </w:pPr>
      <w:r>
        <w:rPr>
          <w:rFonts w:ascii="Arial" w:cs="Arial" w:eastAsia="Arial" w:hAnsi="Arial"/>
          <w:sz w:val="13"/>
          <w:szCs w:val="13"/>
          <w:color w:val="auto"/>
        </w:rPr>
        <w:t>Presentation of fleet data does not include newbuildings on order during the relevant periods. The data presented regarding our owned fleet includes only our owned ships delivered prior to December 31, 2020 including the ships owned by GasLog Partners. The data presented regarding our managed fleet includes our wholly owned vessels as well as ships owned by GasLog Partners, Egypt LNG, Lepta Shipping and Sea 190 Leasing that are or were operating under our management.</w:t>
      </w:r>
    </w:p>
    <w:p>
      <w:pPr>
        <w:spacing w:after="0" w:line="102" w:lineRule="exact"/>
        <w:rPr>
          <w:rFonts w:ascii="Arial" w:cs="Arial" w:eastAsia="Arial" w:hAnsi="Arial"/>
          <w:sz w:val="11"/>
          <w:szCs w:val="11"/>
          <w:color w:val="auto"/>
        </w:rPr>
      </w:pPr>
    </w:p>
    <w:p>
      <w:pPr>
        <w:ind w:left="1680" w:right="40" w:hanging="549"/>
        <w:spacing w:after="0" w:line="270" w:lineRule="auto"/>
        <w:tabs>
          <w:tab w:leader="none" w:pos="1680" w:val="left"/>
        </w:tabs>
        <w:numPr>
          <w:ilvl w:val="0"/>
          <w:numId w:val="8"/>
        </w:numPr>
        <w:rPr>
          <w:rFonts w:ascii="Arial" w:cs="Arial" w:eastAsia="Arial" w:hAnsi="Arial"/>
          <w:sz w:val="10"/>
          <w:szCs w:val="10"/>
          <w:color w:val="auto"/>
        </w:rPr>
      </w:pPr>
      <w:r>
        <w:rPr>
          <w:rFonts w:ascii="Arial" w:cs="Arial" w:eastAsia="Arial" w:hAnsi="Arial"/>
          <w:sz w:val="12"/>
          <w:szCs w:val="12"/>
          <w:color w:val="auto"/>
        </w:rPr>
        <w:t xml:space="preserve">The revenue operating days for our owned and bareboat fleet are the total available days after deducting unchartered days. Available days represent the total number of days in a given period that the vessels (including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Hong Kong</w:t>
      </w:r>
      <w:r>
        <w:rPr>
          <w:rFonts w:ascii="Arial" w:cs="Arial" w:eastAsia="Arial" w:hAnsi="Arial"/>
          <w:sz w:val="12"/>
          <w:szCs w:val="12"/>
          <w:color w:val="auto"/>
        </w:rPr>
        <w:t>, vessels on a bareboat charter) were in our possession after deducting the total number of days off-hire not recoverable from the insurers and unavailable days (i.e., periods of commercial waiting time during which we do not earn charter hire, such as days before and after a dry-docking where the vessel has limited ability for chartering opportunities).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w:t>
      </w:r>
    </w:p>
    <w:p>
      <w:pPr>
        <w:spacing w:after="0" w:line="81" w:lineRule="exact"/>
        <w:rPr>
          <w:rFonts w:ascii="Arial" w:cs="Arial" w:eastAsia="Arial" w:hAnsi="Arial"/>
          <w:sz w:val="10"/>
          <w:szCs w:val="10"/>
          <w:color w:val="auto"/>
        </w:rPr>
      </w:pPr>
    </w:p>
    <w:p>
      <w:pPr>
        <w:ind w:left="1680" w:hanging="549"/>
        <w:spacing w:after="0"/>
        <w:tabs>
          <w:tab w:leader="none" w:pos="168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680" w:right="40"/>
        <w:spacing w:after="0" w:line="241" w:lineRule="auto"/>
        <w:rPr>
          <w:rFonts w:ascii="Arial" w:cs="Arial" w:eastAsia="Arial" w:hAnsi="Arial"/>
          <w:sz w:val="22"/>
          <w:szCs w:val="22"/>
          <w:color w:val="auto"/>
          <w:vertAlign w:val="superscript"/>
        </w:rPr>
      </w:pPr>
      <w:r>
        <w:rPr>
          <w:rFonts w:ascii="Arial" w:cs="Arial" w:eastAsia="Arial" w:hAnsi="Arial"/>
          <w:sz w:val="13"/>
          <w:szCs w:val="13"/>
          <w:color w:val="auto"/>
        </w:rPr>
        <w:t>EBITDA is defined as earnings before depreciation, amortization, financial income and costs, gain/loss on derivatives and taxes. Adjusted EBITDA is defined as EBITDA before foreign exchange gains/losses, impairment loss on vessels, gain/loss on disposal of non-current assets and restructuring costs. Adjusted EPS represents earnings attributable to owners of the Group before write-off and accelerated amortization of unamortized loan/bond fees and premium, foreign exchange gains/losses, unrealized foreign exchange losses on cash and bond, impairment loss on vessels attributable to the owners of the Group, the swap optimization costs (with respect to cash collateral amendments), gain/loss on disposal of non-current assets, restructuring costs and non-cash gain/loss on derivatives that includes (if any) (a) unrealized gain/(loss) on derivative financial instruments held for trading, (b) recycled loss of cash flow hedges reclassified to profit or loss and (c) ineffective portion of cash flow hedges, divided by the weighted average number of shares outstanding. EBITDA, Adjusted EBITDA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line="241" w:lineRule="auto"/>
        <w:rPr>
          <w:sz w:val="20"/>
          <w:szCs w:val="20"/>
          <w:color w:val="auto"/>
        </w:rPr>
      </w:pPr>
      <w:r>
        <w:rPr>
          <w:rFonts w:ascii="Arial" w:cs="Arial" w:eastAsia="Arial" w:hAnsi="Arial"/>
          <w:sz w:val="13"/>
          <w:szCs w:val="13"/>
          <w:color w:val="auto"/>
        </w:rPr>
        <w:t>excluding the potentially disparate effects between periods of, in the case of EBITDA and Adjusted EBITDA, financial costs, gain/loss on derivatives, taxes, depreciation and amortization; in the case of Adjusted EBITDA, foreign exchange gains/losses, impairment loss on vessels, gain/loss on disposal of non-current assets and restructuring costs; and in the case of Adjusted EPS, write-off and accelerated amortization of unamortized loan/bond fees and premium, foreign exchange gains/losses, unrealized foreign exchange losses on cash and bond, impairment loss on vessels, swap optimization costs (with respect to cash collateral amendments), gain/loss on disposal of non-current assets,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year, gain/loss on disposal of non-current assets is excluded from Adjusted EBITDA and Adjusted EPS and swap optimization costs (with respect to cash collateral amendments) are excluded from Adjusted EPS because gain/loss on disposal of non-current assets, which represents the excess of their carrying amount over the amount that is expected to be recovered from them in the future and swap optimization costs (with respect to cash collateral amendments), which reflect specific actions taken by management to improve the Group's future liquidity and profitability, are charges not considered to be reflective of the ongoing operations of the Group, that we believe reduce the comparability of our operating and business performance across periods. These additional costs were not previously incurred in the prior years and therefore no recasting of the prior year non-GAAP financial measures is required.</w:t>
      </w:r>
    </w:p>
    <w:p>
      <w:pPr>
        <w:spacing w:after="0" w:line="197" w:lineRule="exact"/>
        <w:rPr>
          <w:sz w:val="20"/>
          <w:szCs w:val="20"/>
          <w:color w:val="auto"/>
        </w:rPr>
      </w:pPr>
    </w:p>
    <w:p>
      <w:pPr>
        <w:ind w:left="1680" w:right="20"/>
        <w:spacing w:after="0" w:line="268" w:lineRule="auto"/>
        <w:rPr>
          <w:sz w:val="20"/>
          <w:szCs w:val="20"/>
          <w:color w:val="auto"/>
        </w:rPr>
      </w:pPr>
      <w:r>
        <w:rPr>
          <w:rFonts w:ascii="Arial" w:cs="Arial" w:eastAsia="Arial" w:hAnsi="Arial"/>
          <w:sz w:val="12"/>
          <w:szCs w:val="12"/>
          <w:color w:val="auto"/>
        </w:rPr>
        <w:t>EBITDA, Adjusted EBITDA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EPS are not adjusted for all non-cash income or expense items that are reflected in our statements of cash flows and other companies in our industry may calculate these measures differently from how we calculate such measures, limiting their usefulness as a comparative measure.</w:t>
      </w:r>
    </w:p>
    <w:p>
      <w:pPr>
        <w:spacing w:after="0" w:line="177" w:lineRule="exact"/>
        <w:rPr>
          <w:sz w:val="20"/>
          <w:szCs w:val="20"/>
          <w:color w:val="auto"/>
        </w:rPr>
      </w:pPr>
    </w:p>
    <w:p>
      <w:pPr>
        <w:ind w:left="1680" w:right="60"/>
        <w:spacing w:after="0" w:line="250" w:lineRule="auto"/>
        <w:rPr>
          <w:sz w:val="20"/>
          <w:szCs w:val="20"/>
          <w:color w:val="auto"/>
        </w:rPr>
      </w:pPr>
      <w:r>
        <w:rPr>
          <w:rFonts w:ascii="Arial" w:cs="Arial" w:eastAsia="Arial" w:hAnsi="Arial"/>
          <w:sz w:val="13"/>
          <w:szCs w:val="13"/>
          <w:color w:val="auto"/>
        </w:rPr>
        <w:t>In evaluating Adjusted EBITDA and Adjusted EPS, you should be aware that in the future we may incur expenses that are the same as, or similar to, some of the adjustments in this presentation. Our presentation of Adjusted EBITDA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4200" w:type="dxa"/>
            <w:vAlign w:val="bottom"/>
          </w:tcPr>
          <w:p>
            <w:pPr>
              <w:ind w:left="320"/>
              <w:spacing w:after="0"/>
              <w:rPr>
                <w:sz w:val="20"/>
                <w:szCs w:val="20"/>
                <w:color w:val="auto"/>
              </w:rPr>
            </w:pPr>
            <w:r>
              <w:rPr>
                <w:rFonts w:ascii="Arial" w:cs="Arial" w:eastAsia="Arial" w:hAnsi="Arial"/>
                <w:sz w:val="13"/>
                <w:szCs w:val="13"/>
                <w:b w:val="1"/>
                <w:bCs w:val="1"/>
                <w:color w:val="auto"/>
                <w:w w:val="98"/>
              </w:rPr>
              <w:t>Reconciliation of Profit/(loss) to EBITDA and Adjusted EBITDA: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52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3"/>
                <w:szCs w:val="13"/>
                <w:b w:val="1"/>
                <w:bCs w:val="1"/>
                <w:color w:val="auto"/>
              </w:rPr>
              <w:t>(in</w:t>
            </w:r>
          </w:p>
        </w:tc>
        <w:tc>
          <w:tcPr>
            <w:tcW w:w="1780" w:type="dxa"/>
            <w:vAlign w:val="bottom"/>
            <w:gridSpan w:val="9"/>
          </w:tcPr>
          <w:p>
            <w:pPr>
              <w:jc w:val="right"/>
              <w:ind w:right="440"/>
              <w:spacing w:after="0" w:line="142" w:lineRule="exact"/>
              <w:rPr>
                <w:sz w:val="20"/>
                <w:szCs w:val="20"/>
                <w:color w:val="auto"/>
              </w:rPr>
            </w:pPr>
            <w:r>
              <w:rPr>
                <w:rFonts w:ascii="Arial" w:cs="Arial" w:eastAsia="Arial" w:hAnsi="Arial"/>
                <w:sz w:val="13"/>
                <w:szCs w:val="13"/>
                <w:b w:val="1"/>
                <w:bCs w:val="1"/>
                <w:color w:val="auto"/>
                <w:w w:val="81"/>
              </w:rPr>
              <w:t>thousands of U.S. dollars)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Profit/(loss) for the year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126,398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(115,613)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3,289</w:t>
            </w:r>
          </w:p>
        </w:tc>
        <w:tc>
          <w:tcPr>
            <w:tcW w:w="160" w:type="dxa"/>
            <w:vAlign w:val="bottom"/>
            <w:shd w:val="clear" w:color="auto" w:fill="CCEEFF"/>
          </w:tcPr>
          <w:p>
            <w:pPr>
              <w:spacing w:after="0"/>
              <w:rPr>
                <w:sz w:val="12"/>
                <w:szCs w:val="12"/>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3"/>
                <w:szCs w:val="13"/>
                <w:color w:val="auto"/>
              </w:rPr>
              <w:t>Depreciation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137,187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153,193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168,041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177,213</w:t>
            </w:r>
          </w:p>
        </w:tc>
        <w:tc>
          <w:tcPr>
            <w:tcW w:w="160" w:type="dxa"/>
            <w:vAlign w:val="bottom"/>
          </w:tcPr>
          <w:p>
            <w:pPr>
              <w:spacing w:after="0"/>
              <w:rPr>
                <w:sz w:val="12"/>
                <w:szCs w:val="12"/>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190,481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165,281</w:t>
            </w:r>
          </w:p>
        </w:tc>
        <w:tc>
          <w:tcPr>
            <w:tcW w:w="160" w:type="dxa"/>
            <w:vAlign w:val="bottom"/>
            <w:shd w:val="clear" w:color="auto" w:fill="CCEEFF"/>
          </w:tcPr>
          <w:p>
            <w:pPr>
              <w:spacing w:after="0"/>
              <w:rPr>
                <w:sz w:val="12"/>
                <w:szCs w:val="12"/>
                <w:color w:val="auto"/>
              </w:rPr>
            </w:pPr>
          </w:p>
        </w:tc>
      </w:tr>
      <w:tr>
        <w:trPr>
          <w:trHeight w:val="149"/>
        </w:trPr>
        <w:tc>
          <w:tcPr>
            <w:tcW w:w="4200" w:type="dxa"/>
            <w:vAlign w:val="bottom"/>
          </w:tcPr>
          <w:p>
            <w:pPr>
              <w:spacing w:after="0"/>
              <w:rPr>
                <w:sz w:val="20"/>
                <w:szCs w:val="20"/>
                <w:color w:val="auto"/>
              </w:rPr>
            </w:pPr>
            <w:r>
              <w:rPr>
                <w:rFonts w:ascii="Arial" w:cs="Arial" w:eastAsia="Arial" w:hAnsi="Arial"/>
                <w:sz w:val="13"/>
                <w:szCs w:val="13"/>
                <w:color w:val="auto"/>
              </w:rPr>
              <w:t>Financial 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(2,650)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(4,784)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(5,318)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(726)</w:t>
            </w: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Loss/(gain) on derivatives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84,658</w:t>
            </w:r>
          </w:p>
        </w:tc>
        <w:tc>
          <w:tcPr>
            <w:tcW w:w="160" w:type="dxa"/>
            <w:vAlign w:val="bottom"/>
            <w:shd w:val="clear" w:color="auto" w:fill="CCEEFF"/>
          </w:tcPr>
          <w:p>
            <w:pPr>
              <w:spacing w:after="0"/>
              <w:rPr>
                <w:sz w:val="12"/>
                <w:szCs w:val="12"/>
                <w:color w:val="auto"/>
              </w:rPr>
            </w:pP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3"/>
                <w:szCs w:val="13"/>
                <w:b w:val="1"/>
                <w:bCs w:val="1"/>
                <w:color w:val="auto"/>
              </w:rPr>
              <w:t>EBITDA</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301,023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355,902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447,511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293,032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429,715</w:t>
            </w:r>
          </w:p>
        </w:tc>
        <w:tc>
          <w:tcPr>
            <w:tcW w:w="160" w:type="dxa"/>
            <w:vAlign w:val="bottom"/>
          </w:tcPr>
          <w:p>
            <w:pPr>
              <w:spacing w:after="0"/>
              <w:rPr>
                <w:sz w:val="12"/>
                <w:szCs w:val="12"/>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losses, net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w:t>
            </w:r>
          </w:p>
        </w:tc>
        <w:tc>
          <w:tcPr>
            <w:tcW w:w="160" w:type="dxa"/>
            <w:vAlign w:val="bottom"/>
            <w:shd w:val="clear" w:color="auto" w:fill="CCEEFF"/>
          </w:tcPr>
          <w:p>
            <w:pPr>
              <w:spacing w:after="0"/>
              <w:rPr>
                <w:sz w:val="12"/>
                <w:szCs w:val="12"/>
                <w:color w:val="auto"/>
              </w:rPr>
            </w:pPr>
          </w:p>
        </w:tc>
      </w:tr>
      <w:tr>
        <w:trPr>
          <w:trHeight w:val="149"/>
        </w:trPr>
        <w:tc>
          <w:tcPr>
            <w:tcW w:w="4200" w:type="dxa"/>
            <w:vAlign w:val="bottom"/>
          </w:tcPr>
          <w:p>
            <w:pPr>
              <w:spacing w:after="0"/>
              <w:rPr>
                <w:sz w:val="20"/>
                <w:szCs w:val="20"/>
                <w:color w:val="auto"/>
              </w:rPr>
            </w:pPr>
            <w:r>
              <w:rPr>
                <w:rFonts w:ascii="Arial" w:cs="Arial" w:eastAsia="Arial" w:hAnsi="Arial"/>
                <w:sz w:val="13"/>
                <w:szCs w:val="13"/>
                <w:color w:val="auto"/>
              </w:rPr>
              <w:t>Loss on disposal of non-current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572</w:t>
            </w:r>
          </w:p>
        </w:tc>
        <w:tc>
          <w:tcPr>
            <w:tcW w:w="160" w:type="dxa"/>
            <w:vAlign w:val="bottom"/>
          </w:tcPr>
          <w:p>
            <w:pPr>
              <w:spacing w:after="0"/>
              <w:rPr>
                <w:sz w:val="12"/>
                <w:szCs w:val="12"/>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Impairment loss on vessels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162,149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28,627</w:t>
            </w:r>
          </w:p>
        </w:tc>
        <w:tc>
          <w:tcPr>
            <w:tcW w:w="160" w:type="dxa"/>
            <w:vAlign w:val="bottom"/>
            <w:shd w:val="clear" w:color="auto" w:fill="CCEEFF"/>
          </w:tcPr>
          <w:p>
            <w:pPr>
              <w:spacing w:after="0"/>
              <w:rPr>
                <w:sz w:val="12"/>
                <w:szCs w:val="12"/>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3"/>
                <w:szCs w:val="13"/>
                <w:color w:val="auto"/>
              </w:rPr>
              <w:t>Restructuring costs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5,312</w:t>
            </w:r>
          </w:p>
        </w:tc>
        <w:tc>
          <w:tcPr>
            <w:tcW w:w="160" w:type="dxa"/>
            <w:vAlign w:val="bottom"/>
          </w:tcPr>
          <w:p>
            <w:pPr>
              <w:spacing w:after="0"/>
              <w:rPr>
                <w:sz w:val="12"/>
                <w:szCs w:val="12"/>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2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Adjusted EBITDA</w:t>
            </w:r>
          </w:p>
        </w:tc>
        <w:tc>
          <w:tcPr>
            <w:tcW w:w="2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302,386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356,048</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447,747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461,226</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465,577</w:t>
            </w:r>
          </w:p>
        </w:tc>
        <w:tc>
          <w:tcPr>
            <w:tcW w:w="160" w:type="dxa"/>
            <w:vAlign w:val="bottom"/>
            <w:shd w:val="clear" w:color="auto" w:fill="CCEEFF"/>
          </w:tcPr>
          <w:p>
            <w:pPr>
              <w:spacing w:after="0"/>
              <w:rPr>
                <w:sz w:val="12"/>
                <w:szCs w:val="12"/>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80"/>
        <w:spacing w:after="0"/>
        <w:rPr>
          <w:sz w:val="20"/>
          <w:szCs w:val="20"/>
          <w:color w:val="auto"/>
        </w:rPr>
      </w:pPr>
      <w:r>
        <w:rPr>
          <w:rFonts w:ascii="Arial" w:cs="Arial" w:eastAsia="Arial" w:hAnsi="Arial"/>
          <w:sz w:val="13"/>
          <w:szCs w:val="13"/>
          <w:b w:val="1"/>
          <w:bCs w:val="1"/>
          <w:color w:val="auto"/>
        </w:rPr>
        <w:t>Reconciliation of (Loss)/profit attributable to owners of the Group to EPS and Adjusted EPS:</w:t>
      </w:r>
    </w:p>
    <w:p>
      <w:pPr>
        <w:spacing w:after="0" w:line="21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ind w:left="500"/>
              <w:spacing w:after="0"/>
              <w:rPr>
                <w:sz w:val="20"/>
                <w:szCs w:val="20"/>
                <w:color w:val="auto"/>
              </w:rPr>
            </w:pPr>
            <w:r>
              <w:rPr>
                <w:rFonts w:ascii="Arial" w:cs="Arial" w:eastAsia="Arial" w:hAnsi="Arial"/>
                <w:sz w:val="13"/>
                <w:szCs w:val="13"/>
                <w:b w:val="1"/>
                <w:bCs w:val="1"/>
                <w:color w:val="auto"/>
                <w:w w:val="93"/>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85"/>
              </w:rPr>
              <w:t>thousands of U.S.</w:t>
            </w:r>
          </w:p>
        </w:tc>
        <w:tc>
          <w:tcPr>
            <w:tcW w:w="3120" w:type="dxa"/>
            <w:vAlign w:val="bottom"/>
            <w:gridSpan w:val="13"/>
          </w:tcPr>
          <w:p>
            <w:pPr>
              <w:jc w:val="center"/>
              <w:ind w:right="740"/>
              <w:spacing w:after="0" w:line="142" w:lineRule="exact"/>
              <w:rPr>
                <w:sz w:val="20"/>
                <w:szCs w:val="20"/>
                <w:color w:val="auto"/>
              </w:rPr>
            </w:pPr>
            <w:r>
              <w:rPr>
                <w:rFonts w:ascii="Arial" w:cs="Arial" w:eastAsia="Arial" w:hAnsi="Arial"/>
                <w:sz w:val="13"/>
                <w:szCs w:val="13"/>
                <w:b w:val="1"/>
                <w:bCs w:val="1"/>
                <w:color w:val="auto"/>
                <w:w w:val="92"/>
              </w:rPr>
              <w:t>dollars, except share and per share data)</w:t>
            </w: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w w:val="98"/>
              </w:rPr>
              <w:t>(Loss)/profit for the year attributable to owners of the Group</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(21,486)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47,683</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(100,661)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(44,948)</w:t>
            </w: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Plus: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Dividend on preference shares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(10,063)</w:t>
            </w:r>
          </w:p>
        </w:tc>
      </w:tr>
      <w:tr>
        <w:trPr>
          <w:trHeight w:val="131"/>
        </w:trPr>
        <w:tc>
          <w:tcPr>
            <w:tcW w:w="3380" w:type="dxa"/>
            <w:vAlign w:val="bottom"/>
          </w:tcPr>
          <w:p>
            <w:pPr>
              <w:spacing w:after="0" w:line="131" w:lineRule="exact"/>
              <w:rPr>
                <w:sz w:val="20"/>
                <w:szCs w:val="20"/>
                <w:color w:val="auto"/>
              </w:rPr>
            </w:pPr>
            <w:r>
              <w:rPr>
                <w:rFonts w:ascii="Arial" w:cs="Arial" w:eastAsia="Arial" w:hAnsi="Arial"/>
                <w:sz w:val="13"/>
                <w:szCs w:val="13"/>
                <w:color w:val="auto"/>
                <w:w w:val="98"/>
              </w:rPr>
              <w:t>(Loss)/profit for the year attributable to owners of the Group</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380" w:type="dxa"/>
            <w:vAlign w:val="bottom"/>
          </w:tcPr>
          <w:p>
            <w:pPr>
              <w:ind w:left="140"/>
              <w:spacing w:after="0"/>
              <w:rPr>
                <w:sz w:val="20"/>
                <w:szCs w:val="20"/>
                <w:color w:val="auto"/>
              </w:rPr>
            </w:pPr>
            <w:r>
              <w:rPr>
                <w:rFonts w:ascii="Arial" w:cs="Arial" w:eastAsia="Arial" w:hAnsi="Arial"/>
                <w:sz w:val="13"/>
                <w:szCs w:val="13"/>
                <w:color w:val="auto"/>
              </w:rPr>
              <w:t>used in EPS calculation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(31,549)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5,442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37,620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(110,724)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(55,011)</w:t>
            </w: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Weighted average number of shares outstanding, basic</w:t>
            </w: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80,534,702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80,622,788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80,792,837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5"/>
              </w:rPr>
              <w:t>80,849,818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88,011,160</w:t>
            </w:r>
          </w:p>
        </w:tc>
        <w:tc>
          <w:tcPr>
            <w:tcW w:w="160" w:type="dxa"/>
            <w:vAlign w:val="bottom"/>
            <w:shd w:val="clear" w:color="auto" w:fill="CCEEFF"/>
          </w:tcPr>
          <w:p>
            <w:pPr>
              <w:spacing w:after="0"/>
              <w:rPr>
                <w:sz w:val="12"/>
                <w:szCs w:val="12"/>
                <w:color w:val="auto"/>
              </w:rPr>
            </w:pPr>
          </w:p>
        </w:tc>
      </w:tr>
      <w:tr>
        <w:trPr>
          <w:trHeight w:val="142"/>
        </w:trPr>
        <w:tc>
          <w:tcPr>
            <w:tcW w:w="3380" w:type="dxa"/>
            <w:vAlign w:val="bottom"/>
          </w:tcPr>
          <w:p>
            <w:pPr>
              <w:spacing w:after="0" w:line="142" w:lineRule="exact"/>
              <w:rPr>
                <w:sz w:val="20"/>
                <w:szCs w:val="20"/>
                <w:color w:val="auto"/>
              </w:rPr>
            </w:pPr>
            <w:r>
              <w:rPr>
                <w:rFonts w:ascii="Arial" w:cs="Arial" w:eastAsia="Arial" w:hAnsi="Arial"/>
                <w:sz w:val="13"/>
                <w:szCs w:val="13"/>
                <w:b w:val="1"/>
                <w:bCs w:val="1"/>
                <w:color w:val="auto"/>
              </w:rPr>
              <w:t>EPS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(0.63)</w:t>
            </w:r>
          </w:p>
        </w:tc>
        <w:tc>
          <w:tcPr>
            <w:tcW w:w="160" w:type="dxa"/>
            <w:vAlign w:val="bottom"/>
          </w:tcPr>
          <w:p>
            <w:pPr>
              <w:spacing w:after="0"/>
              <w:rPr>
                <w:sz w:val="12"/>
                <w:szCs w:val="12"/>
                <w:color w:val="auto"/>
              </w:rPr>
            </w:pPr>
          </w:p>
        </w:tc>
      </w:tr>
      <w:tr>
        <w:trPr>
          <w:trHeight w:val="131"/>
        </w:trPr>
        <w:tc>
          <w:tcPr>
            <w:tcW w:w="33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8"/>
              </w:rPr>
              <w:t>(Loss)/profit for the year attributable to owners of the Group</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used in EPS calculation</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(31,549)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(110,724)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(55,011)</w:t>
            </w: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Plus: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Non-cash loss/(gain) on derivatives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(6,137)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64,367</w:t>
            </w:r>
          </w:p>
        </w:tc>
        <w:tc>
          <w:tcPr>
            <w:tcW w:w="160" w:type="dxa"/>
            <w:vAlign w:val="bottom"/>
            <w:shd w:val="clear" w:color="auto" w:fill="CCEEFF"/>
          </w:tcPr>
          <w:p>
            <w:pPr>
              <w:spacing w:after="0"/>
              <w:rPr>
                <w:sz w:val="12"/>
                <w:szCs w:val="12"/>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3"/>
                <w:szCs w:val="13"/>
                <w:color w:val="auto"/>
              </w:rPr>
              <w:t>Write-off and accelerated amortization of unamortized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80" w:type="dxa"/>
            <w:vAlign w:val="bottom"/>
          </w:tcPr>
          <w:p>
            <w:pPr>
              <w:ind w:left="140"/>
              <w:spacing w:after="0"/>
              <w:rPr>
                <w:sz w:val="20"/>
                <w:szCs w:val="20"/>
                <w:color w:val="auto"/>
              </w:rPr>
            </w:pPr>
            <w:r>
              <w:rPr>
                <w:rFonts w:ascii="Arial" w:cs="Arial" w:eastAsia="Arial" w:hAnsi="Arial"/>
                <w:sz w:val="13"/>
                <w:szCs w:val="13"/>
                <w:color w:val="auto"/>
                <w:w w:val="97"/>
              </w:rPr>
              <w:t>loan/bond fees and premium attributable to the owners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3380" w:type="dxa"/>
            <w:vAlign w:val="bottom"/>
          </w:tcPr>
          <w:p>
            <w:pPr>
              <w:ind w:left="140"/>
              <w:spacing w:after="0"/>
              <w:rPr>
                <w:sz w:val="20"/>
                <w:szCs w:val="20"/>
                <w:color w:val="auto"/>
              </w:rPr>
            </w:pPr>
            <w:r>
              <w:rPr>
                <w:rFonts w:ascii="Arial" w:cs="Arial" w:eastAsia="Arial" w:hAnsi="Arial"/>
                <w:sz w:val="13"/>
                <w:szCs w:val="13"/>
                <w:color w:val="auto"/>
              </w:rPr>
              <w:t>the Group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23,097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7,368</w:t>
            </w:r>
          </w:p>
        </w:tc>
        <w:tc>
          <w:tcPr>
            <w:tcW w:w="16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5,312</w:t>
            </w:r>
          </w:p>
        </w:tc>
        <w:tc>
          <w:tcPr>
            <w:tcW w:w="160" w:type="dxa"/>
            <w:vAlign w:val="bottom"/>
            <w:shd w:val="clear" w:color="auto" w:fill="CCEEFF"/>
          </w:tcPr>
          <w:p>
            <w:pPr>
              <w:spacing w:after="0"/>
              <w:rPr>
                <w:sz w:val="12"/>
                <w:szCs w:val="12"/>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3"/>
                <w:szCs w:val="13"/>
                <w:color w:val="auto"/>
                <w:w w:val="98"/>
              </w:rPr>
              <w:t>Impairment loss on vessels attributable to the owners of the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380" w:type="dxa"/>
            <w:vAlign w:val="bottom"/>
          </w:tcPr>
          <w:p>
            <w:pPr>
              <w:ind w:left="140"/>
              <w:spacing w:after="0"/>
              <w:rPr>
                <w:sz w:val="20"/>
                <w:szCs w:val="20"/>
                <w:color w:val="auto"/>
              </w:rPr>
            </w:pPr>
            <w:r>
              <w:rPr>
                <w:rFonts w:ascii="Arial" w:cs="Arial" w:eastAsia="Arial" w:hAnsi="Arial"/>
                <w:sz w:val="13"/>
                <w:szCs w:val="13"/>
                <w:color w:val="auto"/>
              </w:rPr>
              <w:t>Group</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67,952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12,434</w:t>
            </w:r>
          </w:p>
        </w:tc>
        <w:tc>
          <w:tcPr>
            <w:tcW w:w="16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Loss on disposal of non-current 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160" w:type="dxa"/>
            <w:vAlign w:val="bottom"/>
            <w:shd w:val="clear" w:color="auto" w:fill="CCEEFF"/>
          </w:tcPr>
          <w:p>
            <w:pPr>
              <w:spacing w:after="0"/>
              <w:rPr>
                <w:sz w:val="12"/>
                <w:szCs w:val="12"/>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3"/>
                <w:szCs w:val="13"/>
                <w:color w:val="auto"/>
              </w:rPr>
              <w:t>Swap optimization costs (with respect to cash collateral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380" w:type="dxa"/>
            <w:vAlign w:val="bottom"/>
          </w:tcPr>
          <w:p>
            <w:pPr>
              <w:ind w:left="140"/>
              <w:spacing w:after="0"/>
              <w:rPr>
                <w:sz w:val="20"/>
                <w:szCs w:val="20"/>
                <w:color w:val="auto"/>
              </w:rPr>
            </w:pPr>
            <w:r>
              <w:rPr>
                <w:rFonts w:ascii="Arial" w:cs="Arial" w:eastAsia="Arial" w:hAnsi="Arial"/>
                <w:sz w:val="13"/>
                <w:szCs w:val="13"/>
                <w:color w:val="auto"/>
              </w:rPr>
              <w:t>amendments)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3,319</w:t>
            </w:r>
          </w:p>
        </w:tc>
        <w:tc>
          <w:tcPr>
            <w:tcW w:w="160" w:type="dxa"/>
            <w:vAlign w:val="bottom"/>
          </w:tcPr>
          <w:p>
            <w:pPr>
              <w:spacing w:after="0"/>
              <w:rPr>
                <w:sz w:val="13"/>
                <w:szCs w:val="13"/>
                <w:color w:val="auto"/>
              </w:rPr>
            </w:pPr>
          </w:p>
        </w:tc>
      </w:tr>
      <w:tr>
        <w:trPr>
          <w:trHeight w:val="138"/>
        </w:trPr>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96"/>
              </w:rPr>
              <w:t>Unrealized foreign exchange losses/(gains), net on cash and</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(4,360)</w:t>
            </w:r>
          </w:p>
        </w:tc>
      </w:tr>
      <w:tr>
        <w:trPr>
          <w:trHeight w:val="148"/>
        </w:trPr>
        <w:tc>
          <w:tcPr>
            <w:tcW w:w="3380" w:type="dxa"/>
            <w:vAlign w:val="bottom"/>
          </w:tcPr>
          <w:p>
            <w:pPr>
              <w:spacing w:after="0"/>
              <w:rPr>
                <w:sz w:val="20"/>
                <w:szCs w:val="20"/>
                <w:color w:val="auto"/>
              </w:rPr>
            </w:pPr>
            <w:r>
              <w:rPr>
                <w:rFonts w:ascii="Arial" w:cs="Arial" w:eastAsia="Arial" w:hAnsi="Arial"/>
                <w:sz w:val="13"/>
                <w:szCs w:val="13"/>
                <w:color w:val="auto"/>
              </w:rPr>
              <w:t>Foreign exchange losses, net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1,351</w:t>
            </w:r>
          </w:p>
        </w:tc>
        <w:tc>
          <w:tcPr>
            <w:tcW w:w="160" w:type="dxa"/>
            <w:vAlign w:val="bottom"/>
          </w:tcPr>
          <w:p>
            <w:pPr>
              <w:spacing w:after="0"/>
              <w:rPr>
                <w:sz w:val="12"/>
                <w:szCs w:val="12"/>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Adjusted (loss)/profit attributable to owners of the Group</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(2,105)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46,067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23,692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35,352</w:t>
            </w:r>
          </w:p>
        </w:tc>
        <w:tc>
          <w:tcPr>
            <w:tcW w:w="160" w:type="dxa"/>
            <w:vAlign w:val="bottom"/>
            <w:shd w:val="clear" w:color="auto" w:fill="CCEEFF"/>
          </w:tcPr>
          <w:p>
            <w:pPr>
              <w:spacing w:after="0"/>
              <w:rPr>
                <w:sz w:val="12"/>
                <w:szCs w:val="12"/>
                <w:color w:val="auto"/>
              </w:rPr>
            </w:pPr>
          </w:p>
        </w:tc>
      </w:tr>
      <w:tr>
        <w:trPr>
          <w:trHeight w:val="142"/>
        </w:trPr>
        <w:tc>
          <w:tcPr>
            <w:tcW w:w="3380" w:type="dxa"/>
            <w:vAlign w:val="bottom"/>
          </w:tcPr>
          <w:p>
            <w:pPr>
              <w:spacing w:after="0" w:line="142" w:lineRule="exact"/>
              <w:rPr>
                <w:sz w:val="20"/>
                <w:szCs w:val="20"/>
                <w:color w:val="auto"/>
              </w:rPr>
            </w:pPr>
            <w:r>
              <w:rPr>
                <w:rFonts w:ascii="Arial" w:cs="Arial" w:eastAsia="Arial" w:hAnsi="Arial"/>
                <w:sz w:val="13"/>
                <w:szCs w:val="13"/>
                <w:color w:val="auto"/>
              </w:rPr>
              <w:t>Weighted average number of shares outstanding, basic</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80,534,702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80,622,788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80,792,837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80,849,818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88,011,160</w:t>
            </w:r>
          </w:p>
        </w:tc>
        <w:tc>
          <w:tcPr>
            <w:tcW w:w="160" w:type="dxa"/>
            <w:vAlign w:val="bottom"/>
          </w:tcPr>
          <w:p>
            <w:pPr>
              <w:spacing w:after="0"/>
              <w:rPr>
                <w:sz w:val="12"/>
                <w:szCs w:val="12"/>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Adjusted EPS</w:t>
            </w:r>
          </w:p>
        </w:tc>
        <w:tc>
          <w:tcPr>
            <w:tcW w:w="2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(0.03)</w:t>
            </w:r>
          </w:p>
        </w:tc>
        <w:tc>
          <w:tcPr>
            <w:tcW w:w="2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(0.00)</w:t>
            </w: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0.57</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center"/>
              <w:ind w:right="8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0.29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0.40</w:t>
            </w:r>
          </w:p>
        </w:tc>
        <w:tc>
          <w:tcPr>
            <w:tcW w:w="160" w:type="dxa"/>
            <w:vAlign w:val="bottom"/>
            <w:shd w:val="clear" w:color="auto" w:fill="CCEEFF"/>
          </w:tcPr>
          <w:p>
            <w:pPr>
              <w:spacing w:after="0"/>
              <w:rPr>
                <w:sz w:val="12"/>
                <w:szCs w:val="12"/>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2020:</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related notes thereto included elsewhere in this annual report.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-165100</wp:posOffset>
            </wp:positionV>
            <wp:extent cx="49891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4" w:lineRule="auto"/>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700"/>
        <w:spacing w:after="0" w:line="207" w:lineRule="auto"/>
        <w:rPr>
          <w:sz w:val="20"/>
          <w:szCs w:val="20"/>
          <w:color w:val="auto"/>
        </w:rPr>
      </w:pPr>
      <w:r>
        <w:rPr>
          <w:rFonts w:ascii="Arial" w:cs="Arial" w:eastAsia="Arial" w:hAnsi="Arial"/>
          <w:sz w:val="16"/>
          <w:szCs w:val="16"/>
          <w:color w:val="auto"/>
        </w:rPr>
        <w:t>Borrowings, non-current portion</w:t>
      </w:r>
      <w:r>
        <w:rPr>
          <w:rFonts w:ascii="Arial" w:cs="Arial" w:eastAsia="Arial" w:hAnsi="Arial"/>
          <w:sz w:val="26"/>
          <w:szCs w:val="26"/>
          <w:color w:val="auto"/>
          <w:vertAlign w:val="superscript"/>
        </w:rPr>
        <w:t>(2)</w:t>
      </w:r>
    </w:p>
    <w:p>
      <w:pPr>
        <w:ind w:left="1700"/>
        <w:spacing w:after="0"/>
        <w:rPr>
          <w:sz w:val="20"/>
          <w:szCs w:val="20"/>
          <w:color w:val="auto"/>
        </w:rPr>
      </w:pPr>
      <w:r>
        <w:rPr>
          <w:rFonts w:ascii="Arial" w:cs="Arial" w:eastAsia="Arial" w:hAnsi="Arial"/>
          <w:sz w:val="18"/>
          <w:szCs w:val="18"/>
          <w:color w:val="auto"/>
        </w:rPr>
        <w:t>Lease liability, current portion</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Lease liability,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49891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debt</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204" w:lineRule="auto"/>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6" w:lineRule="auto"/>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p>
      <w:pPr>
        <w:ind w:left="1700"/>
        <w:spacing w:after="0"/>
        <w:rPr>
          <w:sz w:val="20"/>
          <w:szCs w:val="20"/>
          <w:color w:val="auto"/>
        </w:rPr>
      </w:pPr>
      <w:r>
        <w:rPr>
          <w:rFonts w:ascii="Arial" w:cs="Arial" w:eastAsia="Arial" w:hAnsi="Arial"/>
          <w:sz w:val="18"/>
          <w:szCs w:val="18"/>
          <w:color w:val="auto"/>
        </w:rPr>
        <w:t>Contributed surplus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196" w:lineRule="auto"/>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Accumulated deficit</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Non-controlling interest</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109220</wp:posOffset>
            </wp:positionV>
            <wp:extent cx="13112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As of</w:t>
      </w:r>
    </w:p>
    <w:p>
      <w:pPr>
        <w:spacing w:after="0" w:line="13"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814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070" cy="8890"/>
                    </a:xfrm>
                    <a:prstGeom prst="rect">
                      <a:avLst/>
                    </a:prstGeom>
                    <a:noFill/>
                  </pic:spPr>
                </pic:pic>
              </a:graphicData>
            </a:graphic>
          </wp:anchor>
        </w:drawing>
      </w:r>
    </w:p>
    <w:p>
      <w:pPr>
        <w:spacing w:after="0" w:line="2"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(in thousands of</w:t>
      </w:r>
    </w:p>
    <w:p>
      <w:pPr>
        <w:spacing w:after="0" w:line="1"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U.S. dollars)</w:t>
      </w:r>
    </w:p>
    <w:p>
      <w:pPr>
        <w:spacing w:after="0" w:line="2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245,626</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3,527,595</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9,644</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186,526</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3,969,391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29210</wp:posOffset>
            </wp:positionV>
            <wp:extent cx="814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8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954</w:t>
      </w:r>
    </w:p>
    <w:p>
      <w:pPr>
        <w:spacing w:after="0" w:line="15"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759,822</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18,667</w:t>
      </w:r>
    </w:p>
    <w:p>
      <w:pPr>
        <w:spacing w:after="0" w:line="4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(1,340)</w:t>
      </w:r>
    </w:p>
    <w:p>
      <w:pPr>
        <w:spacing w:after="0" w:line="1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(132,780)</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951,768</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1,597,137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5,566,528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29210</wp:posOffset>
            </wp:positionV>
            <wp:extent cx="814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46355</wp:posOffset>
            </wp:positionV>
            <wp:extent cx="814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80" w:space="720"/>
            <w:col w:w="3040"/>
          </w:cols>
          <w:pgMar w:left="320" w:top="131" w:right="339" w:bottom="1440" w:gutter="0" w:footer="0" w:header="0"/>
          <w:type w:val="continuous"/>
        </w:sectPr>
      </w:pPr>
    </w:p>
    <w:p>
      <w:pPr>
        <w:spacing w:after="0" w:line="177" w:lineRule="exact"/>
        <w:rPr>
          <w:sz w:val="20"/>
          <w:szCs w:val="20"/>
          <w:color w:val="auto"/>
        </w:rPr>
      </w:pPr>
    </w:p>
    <w:p>
      <w:pPr>
        <w:ind w:left="2240" w:hanging="547"/>
        <w:spacing w:after="0" w:line="244" w:lineRule="auto"/>
        <w:tabs>
          <w:tab w:leader="none" w:pos="2240" w:val="left"/>
        </w:tabs>
        <w:numPr>
          <w:ilvl w:val="1"/>
          <w:numId w:val="9"/>
        </w:numPr>
        <w:rPr>
          <w:rFonts w:ascii="Arial" w:cs="Arial" w:eastAsia="Arial" w:hAnsi="Arial"/>
          <w:sz w:val="11"/>
          <w:szCs w:val="11"/>
          <w:color w:val="auto"/>
        </w:rPr>
      </w:pPr>
      <w:r>
        <w:rPr>
          <w:rFonts w:ascii="Arial" w:cs="Arial" w:eastAsia="Arial" w:hAnsi="Arial"/>
          <w:sz w:val="13"/>
          <w:szCs w:val="13"/>
          <w:color w:val="auto"/>
        </w:rPr>
        <w:t>Our indebtedness, other than under our Norwegian Kronier ("NOK") denominated bonds issued under the agreement signed on November 27, 2019, between GasLog and the bond trustee, as amended (the "NOK 2024 Bonds") and the 8.875% senior unsecured notes due in 2022 and issued in March 2017 and May 2019 (the "8.875% Senior Notes"), is secured by mortgages on our owned ships and is guaranteed by the Company or a combination of the Company and GasLog Partners, in the case of the Partnership's indebtedness. The NOK 2024 Bonds and the 8.875% Senior Notes (the carrying amounts of which, net of unamortized financing costs and premium as of December 31, 2020, $104.0 million and $313.8 million, respectively) are unsecured. Borrowings presented do not include our scheduled debt payments and our prepayments since December 31, 2020 totaling $190.4 million. See "Item 5. Operating and Financial Review and Prospects—B. Liquidity and Capital Resources— Credit Facilities" for more information about our credit facilities.</w:t>
      </w:r>
    </w:p>
    <w:p>
      <w:pPr>
        <w:spacing w:after="0" w:line="110" w:lineRule="exact"/>
        <w:rPr>
          <w:rFonts w:ascii="Arial" w:cs="Arial" w:eastAsia="Arial" w:hAnsi="Arial"/>
          <w:sz w:val="11"/>
          <w:szCs w:val="11"/>
          <w:color w:val="auto"/>
        </w:rPr>
      </w:pPr>
    </w:p>
    <w:p>
      <w:pPr>
        <w:ind w:left="2240" w:right="140" w:hanging="547"/>
        <w:spacing w:after="0" w:line="274" w:lineRule="auto"/>
        <w:tabs>
          <w:tab w:leader="none" w:pos="2240" w:val="left"/>
        </w:tabs>
        <w:numPr>
          <w:ilvl w:val="1"/>
          <w:numId w:val="9"/>
        </w:numPr>
        <w:rPr>
          <w:rFonts w:ascii="Arial" w:cs="Arial" w:eastAsia="Arial" w:hAnsi="Arial"/>
          <w:sz w:val="11"/>
          <w:szCs w:val="11"/>
          <w:color w:val="auto"/>
        </w:rPr>
      </w:pPr>
      <w:r>
        <w:rPr>
          <w:rFonts w:ascii="Arial" w:cs="Arial" w:eastAsia="Arial" w:hAnsi="Arial"/>
          <w:sz w:val="13"/>
          <w:szCs w:val="13"/>
          <w:color w:val="auto"/>
        </w:rPr>
        <w:t>Borrowings presented at December 31, 2020, are shown net of $68.5 million of loan and bond issuance costs and premium that are being amortized over the term of the respective borrowings.</w:t>
      </w:r>
    </w:p>
    <w:p>
      <w:pPr>
        <w:spacing w:after="0" w:line="90" w:lineRule="exact"/>
        <w:rPr>
          <w:rFonts w:ascii="Arial" w:cs="Arial" w:eastAsia="Arial" w:hAnsi="Arial"/>
          <w:sz w:val="11"/>
          <w:szCs w:val="11"/>
          <w:color w:val="auto"/>
        </w:rPr>
      </w:pPr>
    </w:p>
    <w:p>
      <w:pPr>
        <w:ind w:left="2240" w:right="40" w:hanging="547"/>
        <w:spacing w:after="0" w:line="317" w:lineRule="auto"/>
        <w:tabs>
          <w:tab w:leader="none" w:pos="2240" w:val="left"/>
        </w:tabs>
        <w:numPr>
          <w:ilvl w:val="1"/>
          <w:numId w:val="9"/>
        </w:numPr>
        <w:rPr>
          <w:rFonts w:ascii="Arial" w:cs="Arial" w:eastAsia="Arial" w:hAnsi="Arial"/>
          <w:sz w:val="10"/>
          <w:szCs w:val="10"/>
          <w:color w:val="auto"/>
        </w:rPr>
      </w:pPr>
      <w:r>
        <w:rPr>
          <w:rFonts w:ascii="Arial" w:cs="Arial" w:eastAsia="Arial" w:hAnsi="Arial"/>
          <w:sz w:val="12"/>
          <w:szCs w:val="12"/>
          <w:color w:val="auto"/>
        </w:rPr>
        <w:t>Does not include any shares that may be issued under the Company's 2013 Omnibus Incentive Compensation Plan. At December 31, 2020, our share capital consisted of 95,393,126 issued and outstanding common shares, 216,683 treasury shares issued and 4,600,000 Preference Shares issued and outstanding.</w:t>
      </w:r>
    </w:p>
    <w:p>
      <w:pPr>
        <w:spacing w:after="0" w:line="144" w:lineRule="exact"/>
        <w:rPr>
          <w:rFonts w:ascii="Arial" w:cs="Arial" w:eastAsia="Arial" w:hAnsi="Arial"/>
          <w:sz w:val="10"/>
          <w:szCs w:val="10"/>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An investment in our common shares or preference shares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245" w:lineRule="exact"/>
        <w:rPr>
          <w:sz w:val="20"/>
          <w:szCs w:val="20"/>
          <w:color w:val="auto"/>
        </w:rPr>
      </w:pPr>
    </w:p>
    <w:p>
      <w:pPr>
        <w:ind w:left="1080" w:right="20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Agreement contains a number of conditions that must be fulfilled to complete the Transaction, some of which may be outside our control. Failure to complete the Transaction could negatively affect our share price, or adversely affect our relationships with our customers, those whom we have business relationships with, or our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LNG Carrier Business</w:t>
      </w:r>
    </w:p>
    <w:p>
      <w:pPr>
        <w:spacing w:after="0" w:line="25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to control the outbreak of the COVID-19 virus is negatively affecting the global economy, energy demand and our business.</w:t>
      </w:r>
    </w:p>
    <w:p>
      <w:pPr>
        <w:spacing w:after="0" w:line="261" w:lineRule="exact"/>
        <w:rPr>
          <w:rFonts w:ascii="Arial" w:cs="Arial" w:eastAsia="Arial" w:hAnsi="Arial"/>
          <w:sz w:val="16"/>
          <w:szCs w:val="16"/>
          <w:color w:val="auto"/>
        </w:rPr>
      </w:pPr>
    </w:p>
    <w:p>
      <w:pPr>
        <w:ind w:left="1080" w:right="24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face difficulty finding long-term charters for our vessels with similar or better rates than their initial long-term charters,which means that our revenues and cash flows from these vessels may decline. This could have a material adverse effect on our business, results of operations, financial condition and the value of our assets, and could significantly reduce or eliminate our ability to pay dividends on our common or Preference Shares.</w:t>
      </w:r>
    </w:p>
    <w:p>
      <w:pPr>
        <w:spacing w:after="0" w:line="21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220" w:lineRule="exact"/>
        <w:rPr>
          <w:rFonts w:ascii="Arial" w:cs="Arial" w:eastAsia="Arial" w:hAnsi="Arial"/>
          <w:sz w:val="18"/>
          <w:szCs w:val="18"/>
          <w:color w:val="auto"/>
        </w:rPr>
      </w:pPr>
    </w:p>
    <w:p>
      <w:pPr>
        <w:ind w:left="1080" w:right="260" w:hanging="532"/>
        <w:spacing w:after="0" w:line="33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oversupply of LNG carriers as a result of excessive new speculative ordering in previous years may lead to a reduction in the charter hire rates that we are able to obtain when seeking charters which could adversely affect our results of operations and cash flows.</w:t>
      </w:r>
    </w:p>
    <w:p>
      <w:pPr>
        <w:spacing w:after="0" w:line="154" w:lineRule="exact"/>
        <w:rPr>
          <w:rFonts w:ascii="Arial" w:cs="Arial" w:eastAsia="Arial" w:hAnsi="Arial"/>
          <w:sz w:val="16"/>
          <w:szCs w:val="16"/>
          <w:color w:val="auto"/>
        </w:rPr>
      </w:pPr>
    </w:p>
    <w:p>
      <w:pPr>
        <w:ind w:left="1080" w:right="12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2021, six vessels are scheduled to be dry-docked, with two dry-dockings taking longer and being more costly than normal as a result of the need to install ballast water treatment systems ("BWTS") on each vessel in order to comply with certain regulatory requirements. Any delay or cost overrun of the dry-docking could have a material adverse effect on our business, results of operations and financial condition.</w:t>
      </w:r>
    </w:p>
    <w:p>
      <w:pPr>
        <w:spacing w:after="0" w:line="17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future capital needs are uncertain and we may need to raise additional funds. We must make substantial capital expenditures to fund the two newbuildings we have on order as of March 1, 2021, and any additional ships we may acquire in the future. In addition we cannot guarantee that renewal, replacement or new lines of credit will be available or will be available on similar or more favourable terms.</w:t>
      </w:r>
    </w:p>
    <w:p>
      <w:pPr>
        <w:spacing w:after="0" w:line="187" w:lineRule="exact"/>
        <w:rPr>
          <w:rFonts w:ascii="Arial" w:cs="Arial" w:eastAsia="Arial" w:hAnsi="Arial"/>
          <w:sz w:val="16"/>
          <w:szCs w:val="16"/>
          <w:color w:val="auto"/>
        </w:rPr>
      </w:pPr>
    </w:p>
    <w:p>
      <w:pPr>
        <w:ind w:left="1080" w:right="30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COVID-19 virus has had a significant impact on all financial markets, including the price and the volatility of equities, bonds, commodities, interest rates and foreign exchange rates and their associated derivatives, and the availability and cost of liquidity in the bank credit markets. These factors, combined with recent declines in the value of our common shares, may make it difficult for us to raise capital, repay or refinance our debt obligations, or fund our maintenance or growth capital expenditures.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future success depends on our ability to maintain relationships with existing customers, establish new customer relationships and obtain new time charter contracts for existing vessels and/or FSRUs/FSUs, for which we face considerable competition.</w:t>
      </w:r>
    </w:p>
    <w:p>
      <w:pPr>
        <w:spacing w:after="0" w:line="167"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207"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 values may fluctuate substantially which may result in impairment charges. A further decline in ship values could impact our compliance with the covenants in our loan agreements and, if the values are lower at a time when we are attempting to dispose of ships, cause us to incur a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Us</w:t>
      </w:r>
    </w:p>
    <w:p>
      <w:pPr>
        <w:spacing w:after="0" w:line="245" w:lineRule="exact"/>
        <w:rPr>
          <w:sz w:val="20"/>
          <w:szCs w:val="20"/>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Until the completion of the Transaction or the termination of the Merger Agreement, we may be restricted from taking certain actions or making certain business decisions which may be beneficial to us and our shareholders.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Due to our lack of diversification, adverse developments in the LNG market and/or in the LNG transportation industry could adversely affect our business.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contracts for the two newbuildings we have on order as of March 1, 2021 are subject to risks that could cause delays in the delivery of the ships, which could adversely affect our results of operations and cash flows.</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we take delivery of our newbuildings or any secondhand ships we may acquire, we will need to expand our staff and crew. If we cannot recruit and retain employees and provide adequate compensation, our business, financial condition, results of operations and cash flows may be adversely affected.</w:t>
      </w:r>
    </w:p>
    <w:p>
      <w:pPr>
        <w:spacing w:after="0" w:line="220"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and foreclosure on our ships.</w:t>
      </w:r>
    </w:p>
    <w:p>
      <w:pPr>
        <w:spacing w:after="0" w:line="207"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 holding company and we depend on the ability of our subsidiaries, including GasLog Partners, to distribute funds to us in order to satisfy our financial obligations and to make dividend payments.</w:t>
      </w:r>
    </w:p>
    <w:p>
      <w:pPr>
        <w:spacing w:after="0" w:line="199"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220"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Preference Shares</w:t>
      </w:r>
    </w:p>
    <w:p>
      <w:pPr>
        <w:spacing w:after="0" w:line="245" w:lineRule="exact"/>
        <w:rPr>
          <w:sz w:val="20"/>
          <w:szCs w:val="20"/>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Preference Shares are subordinated to our debt obligations and investors' interests could be diluted by the issuance of additional preference shares and by other transactions.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Holders of our Preference Shares have extremely limited voting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Preference Shares represent perpetual equity interests and holders have no right to receive any greater payment than the liquidation preference regardless of the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to the following risk factors, you should read "Item 4. Information on the Company" and the related exhibits for a more complete discussion of the material considerations relating to the Transaction (as defined below).</w:t>
      </w:r>
    </w:p>
    <w:p>
      <w:pPr>
        <w:spacing w:after="0" w:line="186"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b w:val="1"/>
          <w:bCs w:val="1"/>
          <w:i w:val="1"/>
          <w:iCs w:val="1"/>
          <w:color w:val="auto"/>
        </w:rPr>
        <w:t>The Merger Agreement with GEPIF is subject to a number of conditions, some of which are outside of the parties' control, and, if these conditions are not satisfied, the Merger Agreement may be terminated and the transaction (the "Transaction") may not be completed.</w:t>
      </w:r>
    </w:p>
    <w:p>
      <w:pPr>
        <w:spacing w:after="0" w:line="141"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The Merger Agreement contains a number of conditions that must be fulfilled to complete the Transaction. These conditions include, but are not limited to, the following conditions: (a) the affirmative vote by (i) the holders of a majority of the voting power of our outstanding common shares and Preference Shares entitled to vote thereon, voting together as a single class (and with each Preference Share carrying a single vote) and (ii) the holders of a majority of the common shares held by the holders of the issued and outstanding common shares, other than GEPIF, the Rolling Shareholders, the Additional Rolling Shareholders and their respective affiliates that are present at the special meeting of shareholders that will be held in connection with the Transaction,</w:t>
      </w:r>
    </w:p>
    <w:p>
      <w:pPr>
        <w:spacing w:after="0" w:line="2" w:lineRule="exact"/>
        <w:rPr>
          <w:sz w:val="20"/>
          <w:szCs w:val="20"/>
          <w:color w:val="auto"/>
        </w:rPr>
      </w:pPr>
    </w:p>
    <w:p>
      <w:pPr>
        <w:ind w:right="540" w:firstLine="8"/>
        <w:spacing w:after="0" w:line="323"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certain specified third-party consents, (c) the absence of any judgment enacted, issued, entered, amended or enforced by any governmental authority of competent jurisdiction restraining or otherwise making illegal, preventing or prohibiting the consummation of the Transaction.</w:t>
      </w:r>
    </w:p>
    <w:p>
      <w:pPr>
        <w:spacing w:after="0" w:line="14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required satisfaction (or waiver) of the foregoing conditions could delay the completion of the Transaction for a significant period of time or prevent it from occurring. Any delay in completing the Transaction could cause GasLog and GEPIF not to realize some or all of the benefits that the parties expect the Transaction to achieve and could result in the Public Shareholders not receiving the merger consideration of $5.80 per share. Further, there can be no assurance that the conditions to the closing of the Transaction will be satisfied or waived or that the Transaction will be completed.</w:t>
      </w:r>
    </w:p>
    <w:p>
      <w:pPr>
        <w:spacing w:after="0" w:line="16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addition, if the Transaction is not completed by September 30, 2021, either we or GEPIF may choose to terminate the Merger Agreement. Either party may also elect to terminate the Merger Agreement in certain other circumstances, and the parties can mutually decide to terminate the Merger Agreement at any time prior to the closing of the Transaction, before or after shareholder approval, as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Transaction could negatively affect our share price.</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incurred, and will continue to incur, significant transaction expenses in connection with the Transaction, regardless of whether the Transaction is completed. Furthermore, we may experience negative reactions from the financial markets, including negative impacts on our share price, or negative reactions from customers or other business partners, should the Transaction not be completed.</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foregoing risks, or other risks arising in connection with any failure to consummate the Transaction, including the diversion of management attention from conducting our business and pursuing other opportunities during the pendency of the Transaction, may have an adverse effect on our business, operations, financial results and share price. We could also be subject to litigation related to any failure to consummate the Transaction or any related action that could be brought to enforce a party's obligations under the Merger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Litigation against us or the members of our Board of Directors or the Special Committee of the Board of Directors could prevent or delay the completion of the Transaction or result in the payment of damages following completion of the Transaction.</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a condition to the Transaction that no governmental authority of competent jurisdiction shall have enacted, issued, entered, amended or enforced any judgment restraining or otherwise making illegal, preventing or prohibiting the consummation of the Transaction. If such a lawsuit or other proceeding is commenced and if in any such litigation or proceeding a plaintiff is successful in obtaining a restraining order or injunction prohibiting the consummation of the Transaction, then the closing of the Transaction may be delayed or may never occur. Even if the Transaction is permitted to occur, the parties may be required to pay damages, fees or expenses in respect of claims related to the Merger Agreement or the Transaction.</w:t>
      </w:r>
    </w:p>
    <w:p>
      <w:pPr>
        <w:spacing w:after="0" w:line="16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Uncertainty about the Transaction may adversely affect the relationships of the parties with their respective suppliers and employees, whether or not the Transaction is completed.</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response to the announcement of the Transaction, existing or prospective customers or persons with whom we have business relationships, including charter and loan counterparties, may delay or defer certain business decisions or might decide to seek to terminate, change or renegotiate their relationship with us in connection with the pending Transaction, which could negatively affect our revenues, earnings and cash available for distribution, as well as our share price, regardless of whether the Transaction is completed.</w:t>
      </w:r>
    </w:p>
    <w:p>
      <w:pPr>
        <w:spacing w:after="0" w:line="197"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color w:val="auto"/>
        </w:rPr>
        <w:t>In addition, as a result of the Transaction, current and prospective employees could experience uncertainty about their future with the Company. These uncertainties may impair the consolidated company's ability to retain, recruit or motivate key management, technical and other personnel.</w:t>
      </w:r>
    </w:p>
    <w:p>
      <w:pPr>
        <w:spacing w:after="0" w:line="14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Until the completion of the Transaction or the termination of the Merger Agreement in accordance with its terms, in consideration of the agreements made by us and GEPIF in the Merger Agreement, we are prohibited from entering into certain transactions and taking certain actions without the consent of GEPIF, some of which might otherwise be beneficial to GasLog and GasLog's shareholders.</w:t>
      </w:r>
    </w:p>
    <w:p>
      <w:pPr>
        <w:spacing w:after="0" w:line="160"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Until the Transaction is completed, the Merger Agreement restricts us from taking specified actions without the consent of GEPIF, and requires us to use commercially reasonable efforts to carry on our business in all material respects in the ordinary course of business. These restrictions may limit our ability to make appropriate business changes or pursue attractive business opportunities that may arise prior to the completion of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LNG Carriers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control the outbreak of the COVID-19 virus is negatively affecting the global economy, energy demand and our business.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were pressured for much of the year. After reaching a bottom point of $19 per barrel in March, oil prices had recovered by the end of the year due to oil production cuts and a favourable economic outlook following the distribution of several COVID-19 vaccines around the world having worked to balance the market. Similarly, global natural gas prices were under sustained pressure for most of 2020. Global gas prices were impacted by lower industrial demand following the COVID-19 pandemic, particularly during the second and third quarters, as well as increasing gas production in export markets such as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United States. In addition, a warmer than average 2019/20 winter in the Northern Hemisphere kept inventories in Europe and parts of Asia above their 5-year averages to start the year and the start-up of new LNG export capacity during 2020 and the ramp up of facilities which began production in 2019 added new supply to the market. Although the LNG market has recently improved and remains on a positive trend, this improvement may not be sustainable in the long-term. In the financial markets, the virus, and the responses of governments around the world to manage the impact of the virus, have led to lower interest rates and extreme volatility in the prices of equities, bonds, commodities and their respective derivatives. Our share price has declined significantly this year, due in part to the impact of the COVID-19 virus. As of December 31, 2020, record low interest rates and exchange rates, especially the U.S. dollar/Norwegian Kroner exchange rate, have required us to post $23.5 million of cash collateral against our current marked-to-market derivative liabilities. The ongoing spread of the COVID-19 virus may negatively affect our business and operations, including our newbuildings under construction in South Korea, the health of our crews and the availability of our fleet, particularly if crew members contract COVID-19, as well as our financial position and prospects. A future reduction in LNG demand and new closure of, or restricted access to, ports and terminals in regions affected by the virus may lead to reduced future chartering activity and, in the extreme, an inability of our charterers to meet their obligations under the terms of their term charters. Furthermore, we may be unable to secure charters for our vessels at rates that are sufficient to meet our financial obligations. We have eight vessels in the spot market, and these vessels are currently experiencing reduced spot charter rates and demand compared to their initial long-term charters.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and results of operations. Should the COVID-19 pandemic continue to negatively impact market rates in the long-term, there would be a significant negative impact on our liquidity and financial condition, as well as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183"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As of March 1, 2021, our owned and bareboat fleet consists of 33 LNG carriers (including the 15 LNG carriers owned by GasLog Partners) and two newbuilds. 17 of our ships currently operate under long-term time charters (defined as those with initial duration of more than five years) with 16 ships trading in the short-term spot market (defined as contracts with initial duration of less than five years). On redelivery, the vessels will trade in the short-term spot market unless we are able to secure new long-term charters. Furthermore, advances in LNG carrier technology may negatively impact our ability to recharter the Steam or TFDE vessels at attractive rates and may result in lower levels of utilization.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common or Preference shares.</w:t>
      </w:r>
    </w:p>
    <w:p>
      <w:pPr>
        <w:spacing w:after="0" w:line="16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17 of our owned and bareboat vessels (including seven of the 15 LNG Carriers owned by GasLog Partners) and two of our newbuild vessels currently operate or will operate under long-term time charters (defined as those with initial duration of more than five years). 16 of our vessels (including eight vessels owned by GasLog Partners) are currently trading in the short-term spot market (defined as contracts with initial duration of less than five years).</w:t>
      </w:r>
    </w:p>
    <w:p>
      <w:pPr>
        <w:spacing w:after="0" w:line="160"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Six of the vessels (including five vessels owned by GasLog Partners) operating in the short-term spot market are Steam vessels. Our Steam vessels are less efficient and have higher emissions than larger, more technologically advanced modern LNG carriers and it may be more challenging to find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Due to these risks, on February 6, 2020, in light of reduced expectations for Steam vessel utilization and earnings GasLog Partners announced that it will focus its capital allocation on debt repayment and prioritizing balance sheet strength. As such,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GasLog Partners and GasLog continue to pursue opportunities for new term time charters with third parties for the vessels trading in the spot market but may have difficulty in securing new charters at attractive rates and for multi-year durations. In the interim, we may have increased exposure to the volatile spot market which is highly competitive and subject to significant price fluctuations. In addition, there may be extended periods of idle time between charters. Moreover, any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7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Failure to secure new term charters could adversely affect our future liquidity, results of operations and cash flows, including cash available for dividends to our shareholders, as well as our ability to meet certain of our debt obligations and covenants.</w:t>
      </w:r>
    </w:p>
    <w:p>
      <w:pPr>
        <w:spacing w:after="0" w:line="186"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sustained decline in charter rates and employment opportunities could adversely affect the market value of our vessels, on which certain of the ratios and financial covenants with which we are required to comply are based, and caused the Group to recognize a total non-cash impairment loss of $28.6 million during the year ended December 31, 2020 for five of its six Steam vessels built in 2006 and 2007. A significant decline in the market value of our vessels could impact our compliance with the covenants in our loan agreements and, if the values are lower at a time when we are attempting to dispose of vessels, could cause us to incur a loss. 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 charter termination would be magnified by the fact that we would still be expending cash to cover the operating costs of the vessel and the costs of servicing the debt on the vessel, if any. If we are unable to re-deploy a vessel, we will not receive any revenues from that vessel and we would be required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 expenses necessary to maintain the vessel in proper operating condition as well as to service the debt attached to that vessel.</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These factors could result in a decrease in our revenues and cash flows, including cash available for dividends to shareholders.</w:t>
      </w:r>
    </w:p>
    <w:p>
      <w:pPr>
        <w:spacing w:after="0" w:line="172"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An oversupply of LNG carriers as a result of excessive new speculative ordering in previous years may lead to a reduction in the charter hire rates we are able to obtain when seeking charters in the future which could adversely affect our results of operations and cash flows.</w:t>
      </w:r>
    </w:p>
    <w:p>
      <w:pPr>
        <w:spacing w:after="0" w:line="141"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one to two years, the supply of LNG carriers has been increasing as a result of the ordering and delivery of new ships. Following a decline in ordering of newbuildings during 2016 and 2017, ordering increased in 2018 and 2019, driven by cyclically low shipyard prices for newbuild vessels, the then strengthening of charter rates and increasing expectations for long-term LNG supply and demand. Whilst ordering of newbuildings declined in 2020, with only 35 LNG carriers ordered, all for long-term business with no vessels ordered on a speculative basis, speculative newbuildings ordered in 2019 may still impact charter rates. According to Poten, as of February 26, 2021, the global trading fleet of conventional LNG carriers (&gt;100,000 cbm) consisted of 538 vessels, with another 112 LNG carriers on order, of which 86 have long-term charters. The large number of ordered newbuildings that remain uncommitted and any future expansion of the global LNG carrier fleet in excess of the demand for LNG shipping may have a negative impact on charter hire rates, vessel utilization and vessel values.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dividends to shareholders, may decline.</w:t>
      </w:r>
    </w:p>
    <w:p>
      <w:pPr>
        <w:spacing w:after="0" w:line="17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b w:val="1"/>
          <w:bCs w:val="1"/>
          <w:i w:val="1"/>
          <w:iCs w:val="1"/>
          <w:color w:val="auto"/>
        </w:rPr>
        <w:t>In 2021, six vessels (one GasLog wholly-owned vessel and five GasLog Partners vessels) are scheduled to be dry-docked. The dry-dockings for two of these vessels will be longer and more costly than normal as a result of the need to install BWTS on each vessel in order to comply with regulatory requirements. Any delay or cost overrun of the dry-docking could have a material adverse effect on our business, results of operations and financial condition and could significantly reduce or eliminate our ability to pay dividends on our common or Preference shares.</w:t>
      </w:r>
    </w:p>
    <w:p>
      <w:pPr>
        <w:spacing w:after="0" w:line="16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issues arising during dry-docking, we may not be able to predict accurately the time required to dry-dock any of our vessels. In 2021, the two dry-dockings will be longer and more costly than normal as a result of the need to install BWTS on the vessels in order to comply with regulatory requirements. Furthermore, the COVID-19 virus, and implementation of additional "stop work" orders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our cash flows, including cash available for dividends to our shareholders, could be adversely affected. The upcoming dry-dockings of vessels are expected to be carried out in 2023 (eight vessels) and 2024 (six vessels).</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Our future capital needs are uncertain and we may need to raise additional funds. We must make substantial capital expenditures to fund the two newbuildings we have on order as of March 1, 2021, and any additional ships we may acquire in the future. In addition we cannot guarantee that renewal, replacement or new lines of credit will be available or will be available on similar or more favourable terms.</w:t>
      </w:r>
    </w:p>
    <w:p>
      <w:pPr>
        <w:spacing w:after="0" w:line="160"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 xml:space="preserve">We believe that our existing cash and cash equivalents and our operating cash flow will be sufficient to meet our anticipated cash requirements for at least the next 12 months. However, we are obligated to make substantial capital expenditures to fund our commitments for the two newbuildings we have on order. We are scheduled to take delivery of the vessels during 2021. As of December 31, 2020, the total remaining balance of the contract prices for the two vessels under construction was $321.1 million (excluding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which was delivered on January 4, 2021), which amounts are payable under each shipbuilding contract in installments upon the attainment of certain specified milestones. The largest portion of the purchase price for each vessel is payable upon its delivery to us from the shipyard.</w:t>
      </w:r>
    </w:p>
    <w:p>
      <w:pPr>
        <w:spacing w:after="0" w:line="19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To the extent that we are unable to draw down the amounts committed under our existing credit facilities, whether due to our failure to comply with the terms of such facilities or the lenders' failure to fund the committed amounts, or 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two contracted newbuildings. If we fail to meet our payment obligations under a shipbuilding contract, we would be in default under the applicable contract and the shipbuilder would have the option of cancelling the contract and retaining any previously funded installment payments.</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we may choose to make substantial further capital expenditures to expand the size of our fleet and/or to convert existing LNG carriers to FSRUs/FSUs in the future. We expect to finance the cost of any new vessels, including conversion costs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beyond our control. The recent significant fall in the value of our common shares may make it difficult or impossible for us to access the equity or equity-linked capital markets. Even if we are successful in obtaining the necessary funds, the terms of any debt financings could limit our ability further to expand our fleet and to pay dividends to our shareholders.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Securing access to additional funds in advance of the maturity of our debt facilities cannot be assured on the same or similar terms. Debt financing, if available, may involve covenants restricting our operations or our ability to incur additional debt or to pay dividends to our shareholders.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66"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our business, financial condition, results of operations and cash flows, including cash available for dividends to our shareholders.</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Our future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shares may make it difficult or impossible for us to access the equity or equity-linked capital markets. The recent fall in U.S. interest rates has required us to post cash collateral against our current marked-to-market derivative liabilities. To the extent that we are unable to finance these obligations and expenditures with cash from operations or incremental bank loans or by issuing debt or equity securities, our ability to make cash dividends may be diminished, or our financial leverage may increase, or our shareholders may be diluted. Our business may be adversely affected if we need to access sources of funding which are more expensive and/or more restrictive.</w:t>
      </w:r>
    </w:p>
    <w:p>
      <w:pPr>
        <w:spacing w:after="0" w:line="173"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has had, and may continue to have, a significant negative impact on global financial markets. If we are unable to access the capital markets or raise additional bank financing or generate sufficient cash flow to meet our debt, capital expenditure and other business requirements, we may be forced to take actions such as:</w:t>
      </w:r>
    </w:p>
    <w:p>
      <w:pPr>
        <w:spacing w:after="0" w:line="21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waivers or consents from our creditors;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our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additional debt or equity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delaying or cancelling our business activities, acquisitions, investments or capital expenditures;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bankruptcy protection.</w:t>
      </w:r>
    </w:p>
    <w:p>
      <w:pPr>
        <w:spacing w:after="0" w:line="225"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some of these measures. Use of cash from operations and possible future sale of certain assets will reduce cash available for dividends to shareholders. Our ability to obtain bank financing or to access the capital markets may be limited by our financial condition at the time of any such financing or offering as well as by adverse market conditions. Following the recent significant fall in the value of our common shares, we may not be able to access the equity or equity-linked capital markets. Even if we are successful in obtaining the necessary funds, the terms of such financings could limit our ability to pay cash dividends to shareholders or operate our business as currently conducted. In addition, incurring additional debt may significantly increase our interest expense and financial leverage, and issuing additional equity securities may result in significant shareholder dilution and would increase the aggregate amount of cash required to maintain our quarterly dividends to shareholders. Despite the recent refinancing of the Group's debt maturities due in 2021, our liquidity position could be challenged in the future, and we may need to raise equity in order to remain in compliance with the financial covenants in our loan facilities.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LNG carriers are complex and their operations are technically challenging. Marine transportation operations are subject to mechanical risks and problems.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Operational problems may lead to loss of revenues or higher than anticipated operating expenses or require additional capital expenditures.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 events or other failures of operational and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caused by mechanical failure, human error, war, terrorism, disease (such as the outbreak of the COVID-19 virus) and quarantine, or political action in various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declining operational performance due to physical degradation as a result of extensive idle time or other factors;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40" w:right="4400" w:firstLine="208"/>
        <w:spacing w:after="0" w:line="563" w:lineRule="auto"/>
        <w:tabs>
          <w:tab w:leader="none" w:pos="10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work stoppages or other labor problems with crew members serving on our ships. An accident involving any of our owned ships could result in any of the following:</w:t>
      </w:r>
    </w:p>
    <w:p>
      <w:pPr>
        <w:spacing w:after="0" w:line="27"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our shareholders, could be materially and adversely affected. The impact of any limitation in the operation of our ships or any early charter termination would be amplified, as a substantial portion of our cash flows and income is dependent on the revenues earned by the chartering of our 33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our ability to pay cash dividends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GasLog's business.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GasLog's business operations could be targeted by individuals or groups seeking to sabotage or disrupt GasLog's information technology systems and networks, or to steal data. A cyber-attack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 financial condition, results of operations and cash flows, including cash available for dividends to our shareholders. While we have insurance policies in place to cover losses in the event of a cyber related event, there can be no assurance that any specific event would be covered by these policies or that the losses would be covered in full.</w:t>
      </w:r>
    </w:p>
    <w:p>
      <w:pPr>
        <w:spacing w:after="0" w:line="17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individuals and customers and significant legal and financial exposure and could affect our ability to retain and attract customers.</w:t>
      </w:r>
    </w:p>
    <w:p>
      <w:pPr>
        <w:spacing w:after="0" w:line="225" w:lineRule="exact"/>
        <w:rPr>
          <w:sz w:val="20"/>
          <w:szCs w:val="20"/>
          <w:color w:val="auto"/>
        </w:rPr>
      </w:pPr>
    </w:p>
    <w:p>
      <w:pPr>
        <w:ind w:right="20" w:firstLine="351"/>
        <w:spacing w:after="0" w:line="369" w:lineRule="auto"/>
        <w:rPr>
          <w:sz w:val="20"/>
          <w:szCs w:val="20"/>
          <w:color w:val="auto"/>
        </w:rPr>
      </w:pPr>
      <w:r>
        <w:rPr>
          <w:rFonts w:ascii="Arial" w:cs="Arial" w:eastAsia="Arial" w:hAnsi="Arial"/>
          <w:sz w:val="15"/>
          <w:szCs w:val="15"/>
          <w:color w:val="auto"/>
        </w:rPr>
        <w:t>Changes in the nature of cyber threats and/or changes to industry standards and regulations might require us to adopt additional procedures for monitoring cybersecurity, which could require additional expenses and/or capital expenditures. However, the impact of such regulations is hard to predict at this time.</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maintain relationships with existing customers, establish new customer relationships and obtain new time charter contracts for existing vessels and/or FSRUs/FSUs, for which we face considerable competition from other established companies with significant resources, as well as recent and potential future new entrants.</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One of our principal objectives is to enter into multi-year, fixed-rate charters for our open on-the-water vessels and for potential additional newbuild vessels. We are seeking to enter into long-term time charter contracts for some or all of the 16 vessels currently trading in the short-term spot market (as defined those contracts with initial duration of less than five years). We will also seek to enter into new time charter contracts upon the expiration or early termination of our existing charter arrangements. The process of obtaining multi-year, fixed rate charters for LNG carriers is highly competitive and generally involves an intensive screening process by potential new customers and the submission of competitive bids. The process is lengthy and the LNG carrier time charters are awarded based upon a variety of factors relating to the ship and the ship operator, including:</w:t>
      </w:r>
    </w:p>
    <w:p>
      <w:pPr>
        <w:spacing w:after="0" w:line="18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LNG shipping experience and quality and efficiency of ship operations, including level of emissions;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construction and dry-docking management experience, including the ability to obtain on-time delivery of new ships according to customer specifications;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competitiveness of the bid in terms of charter rate and other economic and commercial terms.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executing any future growth plans, which could have a material adverse effect on our business, financial condition, results of operations and cash flows, including cash available for dividends to shareholders.</w:t>
      </w:r>
    </w:p>
    <w:p>
      <w:pPr>
        <w:spacing w:after="0" w:line="186" w:lineRule="exact"/>
        <w:rPr>
          <w:sz w:val="20"/>
          <w:szCs w:val="20"/>
          <w:color w:val="auto"/>
        </w:rPr>
      </w:pPr>
    </w:p>
    <w:p>
      <w:pPr>
        <w:ind w:right="80"/>
        <w:spacing w:after="0" w:line="369" w:lineRule="auto"/>
        <w:rPr>
          <w:sz w:val="20"/>
          <w:szCs w:val="20"/>
          <w:color w:val="auto"/>
        </w:rPr>
      </w:pPr>
      <w:r>
        <w:rPr>
          <w:rFonts w:ascii="Arial" w:cs="Arial" w:eastAsia="Arial" w:hAnsi="Arial"/>
          <w:sz w:val="15"/>
          <w:szCs w:val="15"/>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1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year ended December 31, 2020, 57.2%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 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jc w:val="both"/>
        <w:ind w:right="440" w:firstLine="341"/>
        <w:spacing w:after="0" w:line="306"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60"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dividends to shareholders.</w:t>
      </w:r>
    </w:p>
    <w:p>
      <w:pPr>
        <w:spacing w:after="0" w:line="18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Ship values may fluctuate substantially over time due to different factors, which may result in impairment charges that may be recorded in our financial statements. During the year ended December 31, 2020, we recorded a total non-cash impairment charge of $28.6 million for five of our six Steam vessels built in 2006 and 2007, including four GasLog Partners vessels and one vessel wholly owned by us. A further decline in ship values in the future could impact our compliance with the covenants in our loan agreements and, if the values are lower at a time when we are attempting to dispose of ships, cause us to incur a loss.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52" w:lineRule="exact"/>
        <w:rPr>
          <w:rFonts w:ascii="Arial" w:cs="Arial" w:eastAsia="Arial" w:hAnsi="Arial"/>
          <w:sz w:val="18"/>
          <w:szCs w:val="18"/>
          <w:color w:val="auto"/>
        </w:rPr>
      </w:pPr>
    </w:p>
    <w:p>
      <w:pPr>
        <w:ind w:left="5540" w:right="420" w:hanging="4992"/>
        <w:spacing w:after="0" w:line="518" w:lineRule="auto"/>
        <w:tabs>
          <w:tab w:leader="none" w:pos="10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supply and demand balance of the global LNG carrier fleet and the size and contract profile of the LNG carrier orderbook;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declines in levels of utilization of the global LNG carrier fleet and of our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the market value of our ships decline, we may be required to record additional impairment charges in our financial statements, in addition to the impairment charge recorded in the year ended December 31, 2020, which could adversely affect our results of operations. See "Item 5. Operating and Financial Review and Prospects—B. Liquidity and Capital Resources—Critical Accounting Policies—Impairment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dividends to shareholders.</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pay cash dividends to our shareholders.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be increased further by the growing global focus on a lower carbon economy, the physical effects of climate change and the increasing demand for environmental, social and governance disclosures by investors, lenders and regulators.</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ship operations. These requirements may introduce regulations which effect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6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73"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6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86" w:lineRule="exact"/>
        <w:rPr>
          <w:sz w:val="20"/>
          <w:szCs w:val="20"/>
          <w:color w:val="auto"/>
        </w:rPr>
      </w:pPr>
    </w:p>
    <w:p>
      <w:pPr>
        <w:ind w:right="120"/>
        <w:spacing w:after="0" w:line="369" w:lineRule="auto"/>
        <w:rPr>
          <w:sz w:val="20"/>
          <w:szCs w:val="20"/>
          <w:color w:val="auto"/>
        </w:rPr>
      </w:pPr>
      <w:r>
        <w:rPr>
          <w:rFonts w:ascii="Arial" w:cs="Arial" w:eastAsia="Arial" w:hAnsi="Arial"/>
          <w:sz w:val="15"/>
          <w:szCs w:val="15"/>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18"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 as well as our ability to obtain debt financing for ships with older technology whose market values have experienced a significant decline.</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and/or consume LNG. Continued growth in LNG production and demand for LNG and LNG shipping could be negatively affected by a number of factors, including:</w:t>
      </w:r>
    </w:p>
    <w:p>
      <w:pPr>
        <w:spacing w:after="0" w:line="199" w:lineRule="exact"/>
        <w:rPr>
          <w:sz w:val="20"/>
          <w:szCs w:val="20"/>
          <w:color w:val="auto"/>
        </w:rPr>
      </w:pPr>
    </w:p>
    <w:p>
      <w:pPr>
        <w:ind w:left="1080" w:right="78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prices for crude oil, petroleum products, natural gas. Extremely low natural gas prices globally, as experienced in 2020, may limit the willingness and ability of developers of new LNG infrastructure projects to approve the development of such new projects;</w:t>
      </w:r>
    </w:p>
    <w:p>
      <w:pPr>
        <w:spacing w:after="0" w:line="167"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regarding the spread of disease, for example, the COVID-19 virus, safety and terrorism;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weather patterns leading to warmer winters in the northern hemisphere and lower gas demand in the traditional peak heating season;</w:t>
      </w:r>
    </w:p>
    <w:p>
      <w:pPr>
        <w:spacing w:after="0" w:line="286" w:lineRule="exact"/>
        <w:rPr>
          <w:rFonts w:ascii="Arial" w:cs="Arial" w:eastAsia="Arial" w:hAnsi="Arial"/>
          <w:sz w:val="15"/>
          <w:szCs w:val="15"/>
          <w:color w:val="auto"/>
        </w:rPr>
      </w:pPr>
    </w:p>
    <w:p>
      <w:pPr>
        <w:ind w:left="1080" w:right="4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and allocation of capital by developers to new LNG projects, especially the major oil and gas companies and other leading participants in the LNG industry;</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labor or political unrest or military conflicts affecting existing or proposed areas of LNG production, regasification or consumption;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volatility in natural gas and oil prices may adversely affect our growth prospects and results of operations.</w:t>
      </w:r>
    </w:p>
    <w:p>
      <w:pPr>
        <w:spacing w:after="0" w:line="24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Natural gas prices are volatile as demonstrated by 2020 with multi-year lows prior to a strong recovery in late 2020 in certain geographic areas. Natural gas prices are affected by numerous factors beyond our control, including but not limited to the following:</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availability of crude oil, petroleum products and coal;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worldwide and regional supply of,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 and coal;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coal and alternate sources of natural gas in gas importing and consuming countries.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Given the significant global natural gas and crude oil price volatility referenced above, and with eight vessels operating in the short-term spot market under contracts of up to six months and seven vessels scheduled to come off charter during 2021 and 2022, a continuation of the low natural gas prices or oil prices seen in 2020 may adversely affect our future business, results of operations and financial condition and our ability to make cash distributions, as a result of, among other things:</w:t>
      </w:r>
    </w:p>
    <w:p>
      <w:pPr>
        <w:spacing w:after="0" w:line="210" w:lineRule="exact"/>
        <w:rPr>
          <w:sz w:val="20"/>
          <w:szCs w:val="20"/>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12"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high oil prices negatively affecting the competitiveness of natural gas to the extent that natural gas prices are linked to the price of crude oil;</w:t>
      </w:r>
    </w:p>
    <w:p>
      <w:pPr>
        <w:spacing w:after="0" w:line="261"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gas prices globally and/or weak differentials between prices in the Atlantic Basin and the Pacific Basin leading to reduced inter-basin trading of LNG and reduced demand for LNG shipping;</w:t>
      </w:r>
    </w:p>
    <w:p>
      <w:pPr>
        <w:spacing w:after="0" w:line="212" w:lineRule="exact"/>
        <w:rPr>
          <w:rFonts w:ascii="Arial" w:cs="Arial" w:eastAsia="Arial" w:hAnsi="Arial"/>
          <w:sz w:val="18"/>
          <w:szCs w:val="18"/>
          <w:color w:val="auto"/>
        </w:rPr>
      </w:pPr>
    </w:p>
    <w:p>
      <w:pPr>
        <w:ind w:left="1080" w:right="16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compliance with covenants in loan documentation.</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8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including our Senior Management team,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ship-to-shore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69"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GasLog has an office in England and our vessels may visit ports within the United Kingdom. The United Kingdom exited the European Union on January 31, 2020 and entered a transition period from February 1, 2020 to December 31, 2020 during which European Union Law still applied. On December 24, 2020, the United Kingdom reached a trade agreement with the European Union. While the trade agreement did not impose any new tariffs or quotas on goods, there is a risk that the disruption of free movement between the United Kingdom and the European Union could result in disruption of the exchange of people and services, and ultimately,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to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the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3"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dividends to our shareholders.</w:t>
      </w:r>
    </w:p>
    <w:p>
      <w:pPr>
        <w:spacing w:after="0" w:line="176"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and unpredictable financial and operational adverse impacts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payment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of dividends to shareholders.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payment of dividends to shareholders.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Our business could be harmed by trade tariffs, as well as any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dividends to our shareholders.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6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past, political conflicts have also resulted in attacks on ships, mining of waterways and other efforts to disrupt international shipping, particularly in the Arabian Gulf region and West Africa. Acts of terrorism and piracy have also affected ships trading in regions such as the South China Sea and the Gulf of Aden. Any terrorist attacks targeted at ships may in the future have a material negative affect on our business, financial condition, results of operations and cash flows and could directly impact our ships or our customers.</w:t>
      </w:r>
    </w:p>
    <w:p>
      <w:pPr>
        <w:spacing w:after="0" w:line="197"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41"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20" w:firstLine="351"/>
        <w:spacing w:after="0" w:line="254"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20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may adversely affect the construction of additional LNG facilities and could lead to the temporary or permanent closing of various LNG facilities currently in operation.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In the future, the ships we own or manage could be required to call at ports located in countries that are subject to restrictions imposed by the United States and other governments.</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69"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w:t>
      </w:r>
    </w:p>
    <w:p>
      <w:pPr>
        <w:spacing w:after="0" w:line="19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Although the ships we own have not called on ports in countries subject to sanctions or embargoes or in countries identified as state sponsors of terrorism, including Iran, North Korea and Syria, we can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 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 Currently, there is uncertainty surrounding the interpretation of the ESA and the relevant regulations as the Bermuda government, along with the respective governments of the other jurisdictions referenced above, remain in discussions with the European Union Code of Conduct Group.</w:t>
      </w:r>
    </w:p>
    <w:p>
      <w:pPr>
        <w:spacing w:after="0" w:line="20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GasLog has filed the required returns confirming we have appropriate economic substance in Bermuda.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risk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73"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94"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GasLog</w:t>
      </w:r>
    </w:p>
    <w:p>
      <w:pPr>
        <w:spacing w:after="0" w:line="231"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4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rely exclusively on the cash flow generated from charters for our LNG vessels and management of third party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contracts for the two newbuildings we have on order as of March 1, 2021 are subject to risks that could cause delays in the delivery of the ships, which could adversely affect our results of operations and cash flows.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two contracted newbuildings are scheduled to be delivered to us during 2021. Significant delays in the delivery of one or both of these ships,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 delivery of any of these ships with substantial defects or unexpected operational problems could have similar consequences.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or conversions could be delayed because of:</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accidents, diseases or pandemics, including the COVID-19 virus;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further expanding our fleet in the future.</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the eight vessels acquired from MSL in 2014 and 2015. Our future growth will depend on numerous factors, some of which are beyond our control, including our ability to:</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attractive ship acquisition opportunities and consummate such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newbuilding contracts at acceptable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required equity and debt financing on acceptable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secure charter arrangements on terms acceptable to us and to our lenders;</w:t>
      </w:r>
    </w:p>
    <w:p>
      <w:pPr>
        <w:spacing w:after="0" w:line="238" w:lineRule="exact"/>
        <w:rPr>
          <w:rFonts w:ascii="Arial" w:cs="Arial" w:eastAsia="Arial" w:hAnsi="Arial"/>
          <w:sz w:val="18"/>
          <w:szCs w:val="18"/>
          <w:color w:val="auto"/>
        </w:rPr>
      </w:pPr>
    </w:p>
    <w:p>
      <w:pPr>
        <w:ind w:left="5540" w:right="3060" w:hanging="4992"/>
        <w:spacing w:after="0" w:line="518" w:lineRule="auto"/>
        <w:tabs>
          <w:tab w:leader="none" w:pos="10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 and retain additional suitably qualified and experienced seafarers and shore-based employees;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joint ventures;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the expansion of our operations to integrate the new ships into our fleet.</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not be successful in executing any future growth plans, and we cannot give any assurances that we will not incur significant expenses and losses in connection with such growth efforts.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part or in full.</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credit facilities also impose specified financial covenants that apply to us and our subsidiaries on a consolidated basis and to GasLog Partners and its subsidiaries on a consolidated basis. These financial covenants generally include the following:</w:t>
      </w:r>
    </w:p>
    <w:p>
      <w:pPr>
        <w:spacing w:after="0" w:line="199" w:lineRule="exact"/>
        <w:rPr>
          <w:sz w:val="20"/>
          <w:szCs w:val="20"/>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(not included in the GasLog Partners financial covenants);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indebtedness divided by our total assets must not exceed 75.0% (in the case of the GasLog Partners financial covenants, must be less than 65.0%);</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aggregate amount of cash and cash equivalents and short-term investments must be at least $75.0 million (in the case of the GasLog Partners financial covenants, the aggregate amount of cash and cash equivalents, short-term investments and available undrawn facilities with remaining maturities of at least six months (excluding loans from affiliates) must be at least $45.0 million);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 million (not included in the GasLog Partners financial covenants);</w:t>
      </w:r>
    </w:p>
    <w:p>
      <w:pPr>
        <w:spacing w:after="0" w:line="187"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being permitted to pay dividends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market value adjusted net worth must be not less than $350.0 million (not included in the GasLog Partners financial covenants).</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(in the case of the debt financing agreement entered into in October 2015 (the "October 2015 Facility") and the loan agreement GAS-twenty eight Ltd., GAS-thirty Ltd., GAS-thirty one Ltd., GAS-thirty two Ltd., GAS-thirty three Ltd., GAS-thirty four Ltd. and GAS-thirty five Ltd entered into on December 12, 2019 with 13 international banks, with Citibank N.A. London Branch and DNB Bank ASA, London Branch acting as agents on behalf of the other finance parties (the "7xNB Facility"), 115.0% for the first two years after each drawdown and 120.0% at any time thereafter and, in the case of the credit agreement of $193.7 million GasLog Partners entered into on July 16, 2020, with DNB Bank ASA, London Branch, and ING Bank N.V., London Branch, in order to refinance the existing indebtedness due in 2021 on three of its vessels (the "GasLog Partners LP $193.7M Facility"), 130%) of the then outstanding amount under the applicable facility.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8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Further, GasLog has issued the NOK 2024 Bonds and the US dollar denominated 8.875% Senior Notes which also impose specified financial covenants that apply to us and our subsidiaries on a consolidated basis. Under the terms of the NOK 2024 Bonds, GasLog is required to comply with the following financial covenants:</w:t>
      </w:r>
    </w:p>
    <w:p>
      <w:pPr>
        <w:spacing w:after="0" w:line="207"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110.0%.The ratio shall be regarded as having been complied with even if the ratio falls below the stipulated 110% when cash and cash equivalent and short-term investments are at least $110.0 million;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the terms of the NOK 2024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 Under the terms of the 8.875% Senior Notes, GasLog is required to comply with the following financial covenants:</w:t>
      </w:r>
    </w:p>
    <w:p>
      <w:pPr>
        <w:spacing w:after="0" w:line="210"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 in the cross-acceleration of our other indebtedness. For more information regarding our credit facilities, please read "Item 5. Operating and Financial Review and Prospects—B. Liquidity and Capital Resources—Credit Facilities".</w:t>
      </w:r>
    </w:p>
    <w:p>
      <w:pPr>
        <w:spacing w:after="0" w:line="178"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The significant global natural gas and crude oil price volatility, amongst other factors referenced above, have in turn led to a significant shortening of the average duration of spot charters fixed during 2020, as well as a significant decline in average rates for new spot and shorter-term LNG charters commencing promptly. Unless LNG charter market conditions improve, we may have difficulty in securing new charters at attractive rates and durations for the eight vessels in the spot market. As of December 31, 2020, we had a total of 2,932 open vessel days during 2021. A failure to obtain charters at acceptable rates on these vessels could adversely affect our business, financial condition, results of operations and cash flows, including cash available for dividends to our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dividends to our shareholders.</w:t>
      </w:r>
    </w:p>
    <w:p>
      <w:pPr>
        <w:spacing w:after="0" w:line="260"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of December 31, 2020, we had an aggregate of $3.8 billion of indebtedness outstanding under our credit agreements, the NOK 2024 Bonds and the 8.875% Senior Notes, of which $245.6 million was repayable within one year, and finance lease liabilities of $196.2 million, of which $9.6 million was repayable within one year. As of December 31, 2020, there is $305.9 million available under the 7xNB Facility to finance a portion of the contract price of our two newbuildings delivering in 2021. We may incur additional indebtedness in the future as we grow our fleet. This level of debt could have important consequences to us, including the following:</w:t>
      </w:r>
    </w:p>
    <w:p>
      <w:pPr>
        <w:spacing w:after="0" w:line="214" w:lineRule="exact"/>
        <w:rPr>
          <w:sz w:val="20"/>
          <w:szCs w:val="20"/>
          <w:color w:val="auto"/>
        </w:rPr>
      </w:pPr>
    </w:p>
    <w:p>
      <w:pPr>
        <w:ind w:left="1080" w:right="3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costs of borrowing could increase as we become more leveraged;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pay cash dividends to our shareholders.</w:t>
      </w:r>
    </w:p>
    <w:p>
      <w:pPr>
        <w:spacing w:after="0" w:line="186" w:lineRule="exact"/>
        <w:rPr>
          <w:sz w:val="20"/>
          <w:szCs w:val="20"/>
          <w:color w:val="auto"/>
        </w:rPr>
      </w:pPr>
    </w:p>
    <w:p>
      <w:pPr>
        <w:jc w:val="both"/>
        <w:ind w:right="220" w:firstLine="351"/>
        <w:spacing w:after="0" w:line="294" w:lineRule="auto"/>
        <w:rPr>
          <w:sz w:val="20"/>
          <w:szCs w:val="20"/>
          <w:color w:val="auto"/>
        </w:rPr>
      </w:pPr>
      <w:r>
        <w:rPr>
          <w:rFonts w:ascii="Arial" w:cs="Arial" w:eastAsia="Arial" w:hAnsi="Arial"/>
          <w:sz w:val="16"/>
          <w:szCs w:val="16"/>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ability to pay dividends or to redeem our Preference Shares may be limited by the amount of cash we generate from operations, by restrictions in our credit facilities and by additional factors unrelated to our profitability.</w:t>
      </w:r>
    </w:p>
    <w:p>
      <w:pPr>
        <w:spacing w:after="0" w:line="186"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intend to pay regular quarterly dividends. 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183" w:lineRule="exact"/>
        <w:rPr>
          <w:sz w:val="20"/>
          <w:szCs w:val="20"/>
          <w:color w:val="auto"/>
        </w:rPr>
      </w:pPr>
    </w:p>
    <w:p>
      <w:pPr>
        <w:ind w:left="1080" w:right="3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comply with the specified financial covenants in our loan facilities, NOK 2024 Bonds and 8.875% Senior Notes and as corporate guarantor for certain loan facilities on a consolidated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new charters for our vessels at acceptable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charter hire payments we obtain from our charters as well as our ability to re-charter the vessels and the rates obtained upon the expiration of our existing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fleet expansion and associated uses of our cash as well as any financing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due performance by our charterers of their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delivery of newbuild vessels and the beginning of payments under charters relating to those vessels;</w:t>
      </w:r>
    </w:p>
    <w:p>
      <w:pPr>
        <w:spacing w:after="0" w:line="252"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 as well as the costs of repairs, maintenance or modifications of our 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number of unscheduled off-hire days for our fleet and the timing of, and number of days required for, scheduled dry-docking of our ships;</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prevailing global and regional economic or political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information regarding the dividend payment restrictions in our financing agreements, see "—Risks Inherent in an Investment in GasLog—Our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of cash we generate from our operations may differ materially from our profit or loss for the period, which will be affected by non-cash items.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incur other expenses or liabilities that could reduce or eliminate the cash available for dividends.</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86"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are a holding company. Our subsidiaries conduct substantially all of our operations and own all of our operating assets, including our ships. As of March 1, 2021, we have no significant assets other than the equity interests in our subsidiaries, including GasLog Partners, in which we hold a 35.3% equity interest (including our 2.0% general partner interest).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affected by a claim or other action by a third party, including a creditor, or by the law of its jurisdiction of incorporation which regulates the payment of dividends.</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February 6, 2020, in light of reduced expectations for Steam vessel utilization and earnings, GasLog Partners announced that it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and interest rates could result in financial losses for us.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and in British pounds. As a result, we are exposed to foreign exchange risk. However, we also maintain cash balances in euros and British pounds, which amounted to approximately $1.8 million and $1.5 million as of December 31, 2020. We monitor exchange rate fluctuations on a continuous basis and we also hedge movements in currency exchange rates. However, there is still a risk that currency fluctuations will have a negative effect on our business, financial condition, results of operations and cash flows, including cash available for dividends to our shareholders.</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Increased regulatory oversight, uncertainty relating to the nature and timing of the phasing out of the London Interbank Offered Rate ("LIBOR"), and agreement on any new alternative reference rates may adversely impact our ability to manage our exposure to fluctuations in interest rates and borrowing costs.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United Kingdom Financial Conduct Authority ("FCA"), which regulates LIBOR, has announced that it will phase-out LIBOR by the end of 2023. It is unclear whether an extension will be granted or new methods of calculating LIBOR will be established such that it continues to exist after 2023, or if alternative rates or benchmarks will be adopted. Various alternative reference rates are being considered in the financial community. The Secured Overnight Financing Rate has been proposed by the Alternative Reference Rate Committee, a committee convened by the U.S. Federal Reserve that includes major market participants and on which regulators participate, as an alternative rate to replace U.S. dollar LIBOR. However, it is not possible at this time to know the ultimate impact a phase-out of LIBOR may have. The changes may adversely affect the trading market for LIBOR based agreements, including our credit facilities, interest rate swaps and Preference Shares. We may need to negotiate the replacement benchmark rate on our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73"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Shares.</w:t>
      </w:r>
    </w:p>
    <w:p>
      <w:pPr>
        <w:spacing w:after="0" w:line="194"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reported LIBOR rates. If that were to occur, the level of interest or dividend payments during the floating rate period for our LIBOR based agreements would be affected and could affect our profit or the market value of our Preference Shares.</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enter into derivative contracts from time to time for purposes of managing our exposure to fluctuations in interest rates applicable to floating rate indebtedness. As of December 31, 2020, we had twenty seven derivative contracts in place with a notional amount of $1.6 billion. The changes in the fair value of the twenty seven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69"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December 31, 2020, we had three Cross Currency Swaps, or "CCSs", to exchange interest payments and principal on maturity on the same terms as the NOK 2024 Bonds, in order to hedge the variability of the functional currency equivalent cash flows on the NOK 2024 Bonds. As of December 31, 2020, the three CCSs had a notional amount of $98.6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20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enter into forward foreign exchange contracts from time to time for purposes of managing our exposure to fluctuations in foreign exchange rates applicable to payments in foreign currencies (mainly Euros, British Pounds Sterling, Singapore dollars and Japanese Yen). As of December 31, 2020, we had six forward foreign exchange contracts in place with an aggregate notional amount of €13.5 million and one with a notional amount of JP¥29.4 million. The changes in the fair value of these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 For example, for the year ended December 31, 2020, 57.2% of our revenues derived from subsidiaries of Shell. We also have four vessels on charter to Cheniere, two vessels on charter to Gunvor, two vessels on charter to Centrica and one vessel on charter to each of Glencore, Jera, Trafigura, JOVO and CNTIC VPower and eight vessels trading in the short-term spot market under contracts of up to six months.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6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86" w:lineRule="exact"/>
        <w:rPr>
          <w:sz w:val="20"/>
          <w:szCs w:val="20"/>
          <w:color w:val="auto"/>
        </w:rPr>
      </w:pPr>
    </w:p>
    <w:p>
      <w:pPr>
        <w:jc w:val="both"/>
        <w:ind w:right="20" w:firstLine="351"/>
        <w:spacing w:after="0" w:line="302" w:lineRule="auto"/>
        <w:rPr>
          <w:sz w:val="20"/>
          <w:szCs w:val="20"/>
          <w:color w:val="auto"/>
        </w:rPr>
      </w:pPr>
      <w:r>
        <w:rPr>
          <w:rFonts w:ascii="Arial" w:cs="Arial" w:eastAsia="Arial" w:hAnsi="Arial"/>
          <w:sz w:val="15"/>
          <w:szCs w:val="15"/>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Mr. Livanos or one or more of our senior executives ceased to be affiliated with us, we may be unable to recruit other employees with equivalent talent and experience, and our business and financial condition could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jc w:val="center"/>
        <w:ind w:right="4000"/>
        <w:spacing w:after="0"/>
        <w:rPr>
          <w:sz w:val="20"/>
          <w:szCs w:val="20"/>
          <w:color w:val="auto"/>
        </w:rPr>
      </w:pPr>
      <w:r>
        <w:rPr>
          <w:rFonts w:ascii="Arial" w:cs="Arial" w:eastAsia="Arial" w:hAnsi="Arial"/>
          <w:sz w:val="15"/>
          <w:szCs w:val="15"/>
          <w:b w:val="1"/>
          <w:bCs w:val="1"/>
          <w:i w:val="1"/>
          <w:iCs w:val="1"/>
          <w:color w:val="auto"/>
        </w:rPr>
        <w:t>The price of our common shares has recently declined significantly and may continue to be volatile.</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equity securities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payment of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of cash dividends paid to our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repurchases by us of our common shares pursuant to our share repurchase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charter rates and utilization of vessels in the LNG carrier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supply and demand for LNG;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concerning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future sales of our shares or other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investors' perceptions of us, the LNG industry, the LNG shipping industry and the energy industry more broadly;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 such as the recent outbreak of the COVID-19 virus.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common shares may also be volatile. This market volatility, as well as general economic, market or political conditions, could reduce the market price of our common shares despite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securities to decline.</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Any such increase in interest rates may result in a reduction in demand for our securities resulting from other relatively more attractive investment opportunities and may cause the trading price of our securities to decline.</w:t>
      </w:r>
    </w:p>
    <w:p>
      <w:pPr>
        <w:spacing w:after="0" w:line="194" w:lineRule="exact"/>
        <w:rPr>
          <w:sz w:val="20"/>
          <w:szCs w:val="20"/>
          <w:color w:val="auto"/>
        </w:rPr>
      </w:pPr>
    </w:p>
    <w:p>
      <w:pPr>
        <w:ind w:right="240"/>
        <w:spacing w:after="0" w:line="369" w:lineRule="auto"/>
        <w:rPr>
          <w:sz w:val="20"/>
          <w:szCs w:val="20"/>
          <w:color w:val="auto"/>
        </w:rPr>
      </w:pPr>
      <w:r>
        <w:rPr>
          <w:rFonts w:ascii="Arial" w:cs="Arial" w:eastAsia="Arial" w:hAnsi="Arial"/>
          <w:sz w:val="15"/>
          <w:szCs w:val="15"/>
          <w:b w:val="1"/>
          <w:bCs w:val="1"/>
          <w:i w:val="1"/>
          <w:iCs w:val="1"/>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18"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w:t>
      </w:r>
    </w:p>
    <w:p>
      <w:pPr>
        <w:spacing w:after="0" w:line="1" w:lineRule="exact"/>
        <w:rPr>
          <w:sz w:val="20"/>
          <w:szCs w:val="20"/>
          <w:color w:val="auto"/>
        </w:rPr>
      </w:pPr>
    </w:p>
    <w:p>
      <w:pPr>
        <w:ind w:right="320" w:firstLine="8"/>
        <w:spacing w:after="0" w:line="323" w:lineRule="auto"/>
        <w:tabs>
          <w:tab w:leader="none" w:pos="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46"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permitted by these exemptions, as well as by our bye-laws and the laws of Bermuda, we may have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60"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shareholders of companies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equity securities could cause the market price of our equity securities to decline.</w:t>
      </w:r>
    </w:p>
    <w:p>
      <w:pPr>
        <w:spacing w:after="0" w:line="225"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Sales of a substantial number of our equity securities in the public market, or the perception that these sales could occur, may depress the market price for our equity securities. These sales could also impair our ability to raise additional capital through the sale of our equity securities.</w:t>
      </w:r>
    </w:p>
    <w:p>
      <w:pPr>
        <w:spacing w:after="0" w:line="14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the future we may issue additional equity securities which may be pari passu with or senior to our common shares. The issuance by us of additional common shares or other equity securities that are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contractually or structurally pari passu with or senior to our common shares would have the following effects: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shareholders' proportionate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shares may be lower;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shareholders also may elect to sell large numbers of equity securities held by them from time to time. The number of our equity securities available for sale in the public market will be limited by restrictions applicable under securities laws.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Preference Shares are subordinated to all of our existing and future indebtedness. As of December 31, 2020, we had $3.8 billion of outstanding indebtedness. Our existing indebtedness restricts, and our future indebtedness may include restrictions on, our ability to pay dividends to shareholders. Our memorandum of association and bye-laws currently authorizes the issuance of an 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17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Shares have extremely limited voting rights.</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paid in full. In addition, holders of Preference Shares are entitled to vote together with holders of common shares on matters related to the approval of an amalgamation or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Preference Shares will remain outstanding after the close of the Transaction, and could be negatively affected thereby.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While it is expected that our Preference Shares will remain outstanding after the completion of the Transaction, the Preference Shares could be negatively impacted by the Transaction. After consummation of the Transaction, the common shares of GasLog will be acquired by GEPIF and will no longer be publicly traded. The trading markets for the Preference Shares that remain outstanding after completion of the Transaction may become limited and may command a lower price than would a comparable security issued by a public company.</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6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186"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Entities controlled by members of the Livanos family, including our Chairman, may be deemed to beneficially own approximately 41.3% of our issued and outstanding common shares. As a result of his shareholding, Mr. Livanos can effectively control the outcome of most matters on which our shareholders are entitled to vote, including the election of our entire board of directors and other significant corporate actions. The interests of these shareholders may be different to yours.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organizational documents may have anti-takeover effects.</w:t>
      </w:r>
    </w:p>
    <w:p>
      <w:pPr>
        <w:spacing w:after="0" w:line="225"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Our bye-laws contain provisions that could make it more difficult for a third party to acquire us without the consent of our board of directors. These provisions require an affirmative vote of a majority of the votes attaching to all issued and outstanding shares to approve any merger, consolidation, amalgamation or similar transactions. Our bye-laws also provide for restrictions on the time period in which directors may be nominated.</w:t>
      </w:r>
    </w:p>
    <w:p>
      <w:pPr>
        <w:spacing w:after="0" w:line="16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provisions could make it difficult for our shareholders to replace or remove our current board of directors or could have the effect of discouraging, delaying or preventing an offer by a third party to acquire us, even if the third party's offer may be considered beneficial by many shareholders. As a result, shareholders may be limited in their ability to obtain a premium for their shares.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60" w:firstLine="351"/>
        <w:spacing w:after="0" w:line="369" w:lineRule="auto"/>
        <w:rPr>
          <w:sz w:val="20"/>
          <w:szCs w:val="20"/>
          <w:color w:val="auto"/>
        </w:rPr>
      </w:pPr>
      <w:r>
        <w:rPr>
          <w:rFonts w:ascii="Arial" w:cs="Arial" w:eastAsia="Arial" w:hAnsi="Arial"/>
          <w:sz w:val="15"/>
          <w:szCs w:val="15"/>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5" w:lineRule="exact"/>
        <w:rPr>
          <w:sz w:val="20"/>
          <w:szCs w:val="20"/>
          <w:color w:val="auto"/>
        </w:rPr>
      </w:pPr>
    </w:p>
    <w:p>
      <w:pPr>
        <w:ind w:right="380" w:firstLine="351"/>
        <w:spacing w:after="0" w:line="254" w:lineRule="auto"/>
        <w:rPr>
          <w:sz w:val="20"/>
          <w:szCs w:val="20"/>
          <w:color w:val="auto"/>
        </w:rPr>
      </w:pPr>
      <w:r>
        <w:rPr>
          <w:rFonts w:ascii="Arial" w:cs="Arial" w:eastAsia="Arial" w:hAnsi="Arial"/>
          <w:sz w:val="18"/>
          <w:szCs w:val="18"/>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GasLog Ltd. has qualified for the statutory tax exemption for the year of 2020 and intends to continue to qualify for the foreseeable future. However, no assurance can be given that this will be the case. If GasLog Ltd. is not entitled to this exemption under Section 883 for any taxable year, we would be subject to the 4% U.S. Federal income tax described above. The imposition of this taxation could have a negative effect on our business and would result in decreased earnings available for dividends to our shareholders. For a more detailed discussion, see the section entitled "Item 10. Additional Information—E. Tax Considerations—Material U.S. Federal Income Tax Considerations—U.S. Taxation of Our Operating Income".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were treated as a "passive foreign investment company", certain adverse U.S. Federal income tax consequences could result to U.S. shareholders.</w:t>
      </w:r>
    </w:p>
    <w:p>
      <w:pPr>
        <w:spacing w:after="0" w:line="26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foreign corporation will be treated as a "passive foreign investment company", or "PFIC", for U.S. Federal income tax purposes if at least 75% of its gross income for any tax year consists of certain 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73"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Based on our proposed method of operation, we do not believe that GasLog Ltd.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97" w:lineRule="exact"/>
        <w:rPr>
          <w:sz w:val="20"/>
          <w:szCs w:val="20"/>
          <w:color w:val="auto"/>
        </w:rPr>
      </w:pPr>
    </w:p>
    <w:p>
      <w:pPr>
        <w:ind w:right="100" w:firstLine="348"/>
        <w:spacing w:after="0" w:line="331" w:lineRule="auto"/>
        <w:rPr>
          <w:sz w:val="20"/>
          <w:szCs w:val="20"/>
          <w:color w:val="auto"/>
        </w:rPr>
      </w:pPr>
      <w:r>
        <w:rPr>
          <w:rFonts w:ascii="Arial" w:cs="Arial" w:eastAsia="Arial" w:hAnsi="Arial"/>
          <w:sz w:val="16"/>
          <w:szCs w:val="16"/>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PFIC. Moreover, GasLog Ltd. could constitute a PFIC for a future tax year if there were to be changes in the nature and extent of our operations.</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the IRS were to find that GasLog Ltd.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 and Significant Tax Consequences" for a more detailed discussion of the U.S. Federal income tax consequences to U.S. shareholders if GasLog Ltd. is treated as a PFIC.</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Our company and its founders have a long history in shipping and in LNG carriers. Our largest shareholder is Ceres Shipping, whose founding family's shipping activities commenced more than 100 years ago and which is currently controlled by our Chairman, Peter G. Livanos. Ceres Shipping owns its shareholding in GasLog through its wholly owned subsidiary, Blenheim Holdings Ltd. ("Blenheim Holdings"). Ceres Shipping entered the LNG sector in 2001 by undertaking the management of BG Group's owned fleet of LNG carriers through our subsidiary GasLog LNG Services, and in 2003 GasLog Ltd. was incorporated. Until 2010, when we took delivery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Singapore</w:t>
      </w:r>
      <w:r>
        <w:rPr>
          <w:rFonts w:ascii="Arial" w:cs="Arial" w:eastAsia="Arial" w:hAnsi="Arial"/>
          <w:sz w:val="16"/>
          <w:szCs w:val="16"/>
          <w:color w:val="auto"/>
        </w:rPr>
        <w:t>, our business principally consisted of providing technical ship 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7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April 4, 2012, we completed our initial public offering, or "IPO", and our common shares began trading on the NYSE on March 30, 2012 under the ticker symbol "GLOG". On January 22, 2014, GasLog completed a follow-on public offering of 10,925,000 common shares (including 1,425,000 common shares in relation to the over-allotment option exercised in full by the underwriters) and a concurrent private placement of 2,317,460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MSL in 2014. On April 16, 2014, GasLog completed a second follow-on public offering of 4,887,500 common shares (including 637,500 common shares in relation to the over-allotment option exercised in full by the underwriters). The offering resulted in net proceeds of $109.9 million which were used to partially finance the acquisition of the additional three ships acquired from MSL in 2014.</w:t>
      </w:r>
    </w:p>
    <w:p>
      <w:pPr>
        <w:spacing w:after="0" w:line="198"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 xml:space="preserve">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from GasLog, in exchange for (i) 162,358 common units and 9,822,358 subordinated units issued to GasLog representing a 49.8% ownership interest and all of the incentive distribution rights that entitled GasLog to increasing percentages of the cash that the Partnership distributed in excess of $0.43125 per unit per quarter,</w:t>
      </w:r>
    </w:p>
    <w:p>
      <w:pPr>
        <w:spacing w:after="0" w:line="2"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400,913 general partner units issued to GasLog Partners GP LLC, a wholly owned subsidiary of GasLog, representing a 2.0% general partner interest and</w:t>
      </w:r>
    </w:p>
    <w:p>
      <w:pPr>
        <w:spacing w:after="0" w:line="32" w:lineRule="exact"/>
        <w:rPr>
          <w:rFonts w:ascii="Arial" w:cs="Arial" w:eastAsia="Arial" w:hAnsi="Arial"/>
          <w:sz w:val="16"/>
          <w:szCs w:val="16"/>
          <w:color w:val="auto"/>
        </w:rPr>
      </w:pPr>
    </w:p>
    <w:p>
      <w:pPr>
        <w:ind w:right="20" w:firstLine="8"/>
        <w:spacing w:after="0" w:line="253" w:lineRule="auto"/>
        <w:tabs>
          <w:tab w:leader="none" w:pos="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199"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Since GasLog Partners' IPO, the Partnership has completed follow-on equity offerings as set out below, the proceeds of which have been used for general corporate purposes including partially funding the acquisition of the GasLog subsidiaries that own the vessels listed below:</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3"/>
                <w:szCs w:val="13"/>
                <w:b w:val="1"/>
                <w:bCs w:val="1"/>
                <w:color w:val="auto"/>
                <w:w w:val="95"/>
              </w:rPr>
              <w:t>Date Acquisition</w:t>
            </w:r>
          </w:p>
        </w:tc>
      </w:tr>
      <w:tr>
        <w:trPr>
          <w:trHeight w:val="161"/>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Date of Equity Offering</w:t>
            </w:r>
          </w:p>
        </w:tc>
        <w:tc>
          <w:tcPr>
            <w:tcW w:w="160" w:type="dxa"/>
            <w:vAlign w:val="bottom"/>
          </w:tcPr>
          <w:p>
            <w:pPr>
              <w:spacing w:after="0"/>
              <w:rPr>
                <w:sz w:val="14"/>
                <w:szCs w:val="14"/>
                <w:color w:val="auto"/>
              </w:rPr>
            </w:pPr>
          </w:p>
        </w:tc>
        <w:tc>
          <w:tcPr>
            <w:tcW w:w="304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Equity Offering</w:t>
            </w:r>
          </w:p>
        </w:tc>
        <w:tc>
          <w:tcPr>
            <w:tcW w:w="160" w:type="dxa"/>
            <w:vAlign w:val="bottom"/>
          </w:tcPr>
          <w:p>
            <w:pPr>
              <w:spacing w:after="0"/>
              <w:rPr>
                <w:sz w:val="14"/>
                <w:szCs w:val="14"/>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Net Proceeds</w:t>
            </w:r>
          </w:p>
        </w:tc>
        <w:tc>
          <w:tcPr>
            <w:tcW w:w="160" w:type="dxa"/>
            <w:vAlign w:val="bottom"/>
          </w:tcPr>
          <w:p>
            <w:pPr>
              <w:spacing w:after="0"/>
              <w:rPr>
                <w:sz w:val="14"/>
                <w:szCs w:val="14"/>
                <w:color w:val="auto"/>
              </w:rPr>
            </w:pPr>
          </w:p>
        </w:tc>
        <w:tc>
          <w:tcPr>
            <w:tcW w:w="18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Vessels Purchased</w:t>
            </w:r>
          </w:p>
        </w:tc>
        <w:tc>
          <w:tcPr>
            <w:tcW w:w="160" w:type="dxa"/>
            <w:vAlign w:val="bottom"/>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Completed</w:t>
            </w:r>
          </w:p>
        </w:tc>
      </w:tr>
      <w:tr>
        <w:trPr>
          <w:trHeight w:val="201"/>
        </w:trPr>
        <w:tc>
          <w:tcPr>
            <w:tcW w:w="15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September 29,</w:t>
            </w:r>
          </w:p>
        </w:tc>
        <w:tc>
          <w:tcPr>
            <w:tcW w:w="3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$133.0 million</w:t>
            </w:r>
          </w:p>
        </w:tc>
        <w:tc>
          <w:tcPr>
            <w:tcW w:w="16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7"/>
              </w:rPr>
              <w:t xml:space="preserve">Methane Rita Andrea </w:t>
            </w:r>
            <w:r>
              <w:rPr>
                <w:rFonts w:ascii="Arial" w:cs="Arial" w:eastAsia="Arial" w:hAnsi="Arial"/>
                <w:sz w:val="18"/>
                <w:szCs w:val="18"/>
                <w:color w:val="auto"/>
                <w:w w:val="97"/>
              </w:rPr>
              <w:t>and</w:t>
            </w:r>
          </w:p>
        </w:tc>
        <w:tc>
          <w:tcPr>
            <w:tcW w:w="1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4"/>
              </w:rPr>
              <w:t>September 29,</w:t>
            </w:r>
          </w:p>
        </w:tc>
      </w:tr>
      <w:tr>
        <w:trPr>
          <w:trHeight w:val="224"/>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r>
      <w:tr>
        <w:trPr>
          <w:trHeight w:val="208"/>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June 26, 2015</w:t>
            </w:r>
          </w:p>
        </w:tc>
        <w:tc>
          <w:tcPr>
            <w:tcW w:w="3040" w:type="dxa"/>
            <w:vAlign w:val="bottom"/>
          </w:tcPr>
          <w:p>
            <w:pPr>
              <w:ind w:left="20"/>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$171.8 million</w:t>
            </w: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1040" w:type="dxa"/>
            <w:vAlign w:val="bottom"/>
          </w:tcPr>
          <w:p>
            <w:pPr>
              <w:ind w:left="20"/>
              <w:spacing w:after="0"/>
              <w:rPr>
                <w:sz w:val="20"/>
                <w:szCs w:val="20"/>
                <w:color w:val="auto"/>
              </w:rPr>
            </w:pPr>
            <w:r>
              <w:rPr>
                <w:rFonts w:ascii="Arial" w:cs="Arial" w:eastAsia="Arial" w:hAnsi="Arial"/>
                <w:sz w:val="18"/>
                <w:szCs w:val="18"/>
                <w:color w:val="auto"/>
              </w:rPr>
              <w:t>July 1, 2015</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w w:val="95"/>
              </w:rPr>
              <w:t>Methane Shirley Elisabeth</w:t>
            </w:r>
          </w:p>
        </w:tc>
        <w:tc>
          <w:tcPr>
            <w:tcW w:w="10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Methane Heather</w:t>
            </w:r>
          </w:p>
        </w:tc>
        <w:tc>
          <w:tcPr>
            <w:tcW w:w="104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Sally</w:t>
            </w:r>
          </w:p>
        </w:tc>
        <w:tc>
          <w:tcPr>
            <w:tcW w:w="1040" w:type="dxa"/>
            <w:vAlign w:val="bottom"/>
          </w:tcPr>
          <w:p>
            <w:pPr>
              <w:spacing w:after="0"/>
              <w:rPr>
                <w:sz w:val="19"/>
                <w:szCs w:val="19"/>
                <w:color w:val="auto"/>
              </w:rPr>
            </w:pPr>
          </w:p>
        </w:tc>
      </w:tr>
      <w:tr>
        <w:trPr>
          <w:trHeight w:val="209"/>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5, 2016</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$52.3 million</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Seattle</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November 1,</w:t>
            </w:r>
          </w:p>
        </w:tc>
      </w:tr>
      <w:tr>
        <w:trPr>
          <w:trHeight w:val="224"/>
        </w:trPr>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January 27, 2017</w:t>
            </w:r>
          </w:p>
        </w:tc>
        <w:tc>
          <w:tcPr>
            <w:tcW w:w="3040" w:type="dxa"/>
            <w:vAlign w:val="bottom"/>
          </w:tcPr>
          <w:p>
            <w:pPr>
              <w:ind w:left="20"/>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$78.2 million</w:t>
            </w: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040" w:type="dxa"/>
            <w:vAlign w:val="bottom"/>
          </w:tcPr>
          <w:p>
            <w:pPr>
              <w:ind w:left="20"/>
              <w:spacing w:after="0"/>
              <w:rPr>
                <w:sz w:val="20"/>
                <w:szCs w:val="20"/>
                <w:color w:val="auto"/>
              </w:rPr>
            </w:pPr>
            <w:r>
              <w:rPr>
                <w:rFonts w:ascii="Arial" w:cs="Arial" w:eastAsia="Arial" w:hAnsi="Arial"/>
                <w:sz w:val="18"/>
                <w:szCs w:val="18"/>
                <w:color w:val="auto"/>
              </w:rPr>
              <w:t>May 3, 2017</w:t>
            </w: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2017</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$138.8 million</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r>
      <w:tr>
        <w:trPr>
          <w:trHeight w:val="208"/>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3040" w:type="dxa"/>
            <w:vAlign w:val="bottom"/>
          </w:tcPr>
          <w:p>
            <w:pPr>
              <w:ind w:left="20"/>
              <w:spacing w:after="0"/>
              <w:rPr>
                <w:sz w:val="20"/>
                <w:szCs w:val="20"/>
                <w:color w:val="auto"/>
              </w:rPr>
            </w:pPr>
            <w:r>
              <w:rPr>
                <w:rFonts w:ascii="Arial" w:cs="Arial" w:eastAsia="Arial" w:hAnsi="Arial"/>
                <w:sz w:val="18"/>
                <w:szCs w:val="18"/>
                <w:color w:val="auto"/>
                <w:w w:val="97"/>
              </w:rPr>
              <w:t>Common equity offering through an at-</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$123.4 million</w:t>
            </w: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Solaris</w:t>
            </w:r>
          </w:p>
        </w:tc>
        <w:tc>
          <w:tcPr>
            <w:tcW w:w="1040" w:type="dxa"/>
            <w:vAlign w:val="bottom"/>
          </w:tcPr>
          <w:p>
            <w:pPr>
              <w:ind w:left="20"/>
              <w:spacing w:after="0"/>
              <w:rPr>
                <w:sz w:val="20"/>
                <w:szCs w:val="20"/>
                <w:color w:val="auto"/>
              </w:rPr>
            </w:pPr>
            <w:r>
              <w:rPr>
                <w:rFonts w:ascii="Arial" w:cs="Arial" w:eastAsia="Arial" w:hAnsi="Arial"/>
                <w:sz w:val="18"/>
                <w:szCs w:val="18"/>
                <w:color w:val="auto"/>
              </w:rPr>
              <w:t>October 20,</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onwards</w:t>
            </w:r>
          </w:p>
        </w:tc>
        <w:tc>
          <w:tcPr>
            <w:tcW w:w="3040" w:type="dxa"/>
            <w:vAlign w:val="bottom"/>
          </w:tcPr>
          <w:p>
            <w:pPr>
              <w:ind w:left="20"/>
              <w:spacing w:after="0"/>
              <w:rPr>
                <w:sz w:val="20"/>
                <w:szCs w:val="20"/>
                <w:color w:val="auto"/>
              </w:rPr>
            </w:pPr>
            <w:r>
              <w:rPr>
                <w:rFonts w:ascii="Arial" w:cs="Arial" w:eastAsia="Arial" w:hAnsi="Arial"/>
                <w:sz w:val="18"/>
                <w:szCs w:val="18"/>
                <w:color w:val="auto"/>
                <w:w w:val="91"/>
              </w:rPr>
              <w:t>the-market common equity offering which</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(through</w:t>
            </w: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1040" w:type="dxa"/>
            <w:vAlign w:val="bottom"/>
          </w:tcPr>
          <w:p>
            <w:pPr>
              <w:ind w:left="20"/>
              <w:spacing w:after="0"/>
              <w:rPr>
                <w:sz w:val="20"/>
                <w:szCs w:val="20"/>
                <w:color w:val="auto"/>
              </w:rPr>
            </w:pPr>
            <w:r>
              <w:rPr>
                <w:rFonts w:ascii="Arial" w:cs="Arial" w:eastAsia="Arial" w:hAnsi="Arial"/>
                <w:sz w:val="18"/>
                <w:szCs w:val="18"/>
                <w:color w:val="auto"/>
              </w:rPr>
              <w:t>2017</w:t>
            </w:r>
          </w:p>
        </w:tc>
      </w:t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commenced in May 2017 (the "ATM</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December 31,</w:t>
            </w: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w w:val="88"/>
              </w:rPr>
              <w:t>November 14,</w:t>
            </w:r>
          </w:p>
        </w:tc>
      </w:tr>
      <w:tr>
        <w:trPr>
          <w:trHeight w:val="223"/>
        </w:trPr>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Programme")</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2018</w:t>
            </w:r>
          </w:p>
        </w:tc>
      </w:tr>
      <w:tr>
        <w:trPr>
          <w:trHeight w:val="209"/>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17, 2018</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$111.0 million</w:t>
            </w: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26,</w:t>
            </w:r>
          </w:p>
        </w:tc>
      </w:tr>
      <w:tr>
        <w:trPr>
          <w:trHeight w:val="224"/>
        </w:trPr>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r>
      <w:tr>
        <w:trPr>
          <w:trHeight w:val="208"/>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November 15,</w:t>
            </w:r>
          </w:p>
        </w:tc>
        <w:tc>
          <w:tcPr>
            <w:tcW w:w="3040" w:type="dxa"/>
            <w:vAlign w:val="bottom"/>
          </w:tcPr>
          <w:p>
            <w:pPr>
              <w:ind w:left="20"/>
              <w:spacing w:after="0"/>
              <w:rPr>
                <w:sz w:val="20"/>
                <w:szCs w:val="20"/>
                <w:color w:val="auto"/>
              </w:rPr>
            </w:pPr>
            <w:r>
              <w:rPr>
                <w:rFonts w:ascii="Arial" w:cs="Arial" w:eastAsia="Arial" w:hAnsi="Arial"/>
                <w:sz w:val="18"/>
                <w:szCs w:val="18"/>
                <w:color w:val="auto"/>
              </w:rPr>
              <w:t>Preference equity offering</w:t>
            </w:r>
          </w:p>
        </w:tc>
        <w:tc>
          <w:tcPr>
            <w:tcW w:w="16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$96.3 million</w:t>
            </w:r>
          </w:p>
        </w:tc>
        <w:tc>
          <w:tcPr>
            <w:tcW w:w="16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1040" w:type="dxa"/>
            <w:vAlign w:val="bottom"/>
          </w:tcPr>
          <w:p>
            <w:pPr>
              <w:ind w:left="20"/>
              <w:spacing w:after="0"/>
              <w:rPr>
                <w:sz w:val="20"/>
                <w:szCs w:val="20"/>
                <w:color w:val="auto"/>
              </w:rPr>
            </w:pPr>
            <w:r>
              <w:rPr>
                <w:rFonts w:ascii="Arial" w:cs="Arial" w:eastAsia="Arial" w:hAnsi="Arial"/>
                <w:sz w:val="18"/>
                <w:szCs w:val="18"/>
                <w:color w:val="auto"/>
                <w:w w:val="98"/>
              </w:rPr>
              <w:t>April 1, 2019</w:t>
            </w:r>
          </w:p>
        </w:tc>
      </w:tr>
      <w:tr>
        <w:trPr>
          <w:trHeight w:val="222"/>
        </w:trPr>
        <w:tc>
          <w:tcPr>
            <w:tcW w:w="1380" w:type="dxa"/>
            <w:vAlign w:val="bottom"/>
          </w:tcPr>
          <w:p>
            <w:pPr>
              <w:ind w:left="2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1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6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March 1, 2021, GasLog holds a 35.3% interest in the Partnership and, as a result of its ownership of the general partner and the fact that the general partner elects the majority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October 1, 2015, GasLog, Dynagas and Golar established the Cool Pool to market their vessels operating in the LNG shipping spot market. In June and July 2018, Dynagas removed its three vessels from the Cool Pool and renounced its 33% ownership in the Cool Pool. On June 6, 2019, GasLog entered into a termination agreement with the Cool Pool and Golar, whereby GasLog assumed commercial control of its six vessels operating in the LNG carrier spot market through the Cool Pool at that time. Following expiry of their commitments, GasLog vessels were withdrawn from the Cool Pool in June and July 2019.</w:t>
      </w:r>
    </w:p>
    <w:p>
      <w:pPr>
        <w:spacing w:after="0" w:line="16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June 24, 2019, the Partnership Agreement was amended, effective June 30, 2019, to eliminate the general partner's incentive distribution rights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On July 1, 2020 the 415,000 Class B-1 units were converted into 415,000 common units. The remaining Class B units will become eligible for conversion on a one-for-one basis into common units at GasLog's option on July 1, 2021, July 1, 2022, July 1, 2023, July 1, 2024 and July 1, 2025 for the Class B-2 units,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 The updated earnings allocation applies to the total GasLog Partners' profit for the three months ended June 30, 2019 and onwards.</w:t>
      </w:r>
    </w:p>
    <w:p>
      <w:pPr>
        <w:spacing w:after="0" w:line="180"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On June 29, 2020, GasLog completed the sale of 14,400,000 common shares at a price of $2.50 per share for total gross proceeds of $36.0 million through a private placement of unregistered common shares ("the Private Placement"). The net proceeds were used for general corporate purposes. Approximately 75% of shares issued in the Private Placement were purchased by GasLog's directors and affiliates, including 6,500,000 common shares purchased by Blenheim Holdings Ltd., wholly-owned by the Livanos family and 4,000,000 common shares purchased by a wholly-owned affiliate of the Onassis Foundation.</w:t>
      </w:r>
    </w:p>
    <w:p>
      <w:pPr>
        <w:spacing w:after="0" w:line="15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February 22, 2021, we announced that GasLog has entered into a Merger Agreement with GEPIF. Under the Merger Agreement, GEPIF will acquire all of the outstanding common shares of GasLog that are not held by the Rolling Shareholders of GasLog in exchange for $5.80 in cash per common share. Immediately following the completion of the Transaction, the Rolling Shareholders will continue to hold approximately 55% of the outstanding common shares of GasLog and GEPIF will hold approximately 45%. Promptly after completion of the Transaction, the common shares of GasLog will be delisted from the NYSE.</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Transaction is expected to close in the second quarter of 2021, subject to approval of the Transaction by GasLog shareholders at a special meeting, including by a majority of the shares held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non-Rolling Shareholders present at the shareholders meeting that will be held in connection with the Transaction, and the satisfaction or waiver of certain customary closing conditions. GasLog's preference shares shall remain outstanding and continue to trade on the NYSE immediately following the completion of the Transaction.</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March 1, 2021, consists of 35 LNG carriers, including 33 ships on the water and two LNG carriers on order at one of the world's leading LNG shipbuilders, Samsung. This includes 15 LNG carriers in operation that are owned by GasLog Partners, with which we have entered into certain agreements governing our relationship, including purchase options for certain of our ships. We currently manage and operate 33 LNG carriers including 15 of our wholly owned ships in operation, 14 ships contributed or sold to the Partnership (one is managed by a subsidiary of Shell), one additional LNG carrier in which we have a 25.0% interest and three vessels secured under a long-term bareboat charters from Lepta Shipping, Sea 190 Leasing and Hai Kuo Shipping. We are also supervising the construction of our newbuildings. We operate our vessels under time charters. As of December 31, 2020, these contracts are expected to provide total contracted revenues of $3.5 billion during their initial terms, which expire between 2021 and 2032. During 2020, 2019 and 2018, we generated revenues of $674.1 million, $668.6 million and $618.3 million, respectively. For disaggregation of revenues, see "Item 5. Operating and Financial Review and Prospects—Operating Results—Customers".</w:t>
      </w:r>
    </w:p>
    <w:p>
      <w:pPr>
        <w:spacing w:after="0" w:line="17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current time charters have initial terms of up to 12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orderbook of new LNG carriers has staggered delivery dates, facilitating a smooth integration of the ships into our fleet as well as significant annual growth through 2021. This has the additional advantage of spreading our exposure to the re-delivery of these ships over several years upon expiration of their current charters.</w:t>
      </w:r>
    </w:p>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Each of our 33 owned and bareboat LNG carriers and two LNG carriers under construction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similar specifications, which allows us to benefit from economies of scale and operating efficiencies in ship construction, crew training, crew rotation and shared spare parts. Upon delivery of the last of our two contracted newbuildings, our owned and bareboat fleet will have an average age of 7.0 years, making it one of the youngest in the industry. By comparison, as of December 31, 2020, the average age for the global trading LNG carrier fleet including LNG carriers of all sizes, was 10 years.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20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33 ships currently operating under our management.</w:t>
      </w:r>
    </w:p>
    <w:p>
      <w:pPr>
        <w:spacing w:after="0" w:line="198"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wholly owned subsidiary of GasLog acquired a 20% shareholding in Gastrade in 2016. Gastrade is licensed to develop an LNG receiving terminal utilizing an FSRU offshore Alexandroupolis in Northern Greece. The FSRU will be connected to the Greek national grid via a 24km subsea pipeline. A wholly owned subsidiary of GasLog has executed a long-term Operation and Maintenance Agreement with Gastrade under which GasLog will be the operator of the FSRU. This agreement is tied to the Terminal Use Agreement and subject to final investment decision ("FID") of the Alexandroupolis Project.</w:t>
      </w:r>
    </w:p>
    <w:p>
      <w:pPr>
        <w:spacing w:after="0" w:line="16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March 2020, Gastrade concluded the second phase of the regulatory market test for long-term capacity in the terminal with an aggregate long-term profile of binding offers for up to 15 years, reaching 2.6 billion cubic meters per year, from Greek and international natural gas companies, as well as end consumers. The binding offers were subsequently confirmed by the signing of Advanced Capacity Reservation Agreements for the reservation of regasification capacity at the FSRU terminal.</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DEPA, the Greek State Gas Company, acquired a 20% shareholding in Gastrade in 2019. On August 24, 2020, BulgarTransGaz, the Bulgarian State Gas Transportation Company signed agreements to acquire 20% of the shares in Gastrade, and on November 4, 2020, DESFA, the Greek National Gas Transmission Operator, signed agreements to acquire 20% of the shares in Gastrade. The closing of these two acquisitions are pending "no objection" consents from competition authorities.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Gastrade has selected the preferred bidder for the Engineering Procurement and Construction contract for the construction of the pipeline and offshore installation and is progressing the Sale and Purchase Agreement for the procurement of the FSRU. Execution of the contracts are expected in the first quarter of 2021.</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Gastrade currently expects to take FID on the project in first half of 2021 and start-up of the LNG terminal is anticipated to occur in the fourth quarter of 2023.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 xml:space="preserve">In September 2019, GasLog announced that a wholly owned subsidiary of GasLog had signed a 10-year time charter with Sinolam for the provision of a LNG FSU to a gas-fired power project being developed on Panama. The time charter is expected to be fulfilled through the conversion of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Singapore</w:t>
      </w:r>
      <w:r>
        <w:rPr>
          <w:rFonts w:ascii="Arial" w:cs="Arial" w:eastAsia="Arial" w:hAnsi="Arial"/>
          <w:sz w:val="15"/>
          <w:szCs w:val="15"/>
          <w:color w:val="auto"/>
        </w:rPr>
        <w:t>. The FSU will receive, store and send out LNG to a gas-fired power plant currently being developed near Colón, Panama, by Sinolam Smarter</w:t>
      </w:r>
      <w:r>
        <w:rPr>
          <w:rFonts w:ascii="Arial" w:cs="Arial" w:eastAsia="Arial" w:hAnsi="Arial"/>
          <w:sz w:val="15"/>
          <w:szCs w:val="15"/>
          <w:i w:val="1"/>
          <w:iCs w:val="1"/>
          <w:color w:val="auto"/>
        </w:rPr>
        <w:t xml:space="preserve"> </w:t>
      </w:r>
      <w:r>
        <w:rPr>
          <w:rFonts w:ascii="Arial" w:cs="Arial" w:eastAsia="Arial" w:hAnsi="Arial"/>
          <w:sz w:val="15"/>
          <w:szCs w:val="15"/>
          <w:color w:val="auto"/>
        </w:rPr>
        <w:t>energy LNG Power Company, a subsidiary of private Chinese investment group Shanghai Gorgeous Investment Development Company. The power project has signed long-term power purchase agreements with leading Panamanian utility companies as well as a 15-year LNG sale and purchase agreement with Shell.</w:t>
      </w:r>
    </w:p>
    <w:p>
      <w:pPr>
        <w:spacing w:after="0" w:line="157"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November 2019, GasLog announced plans to relocate more of its employees including several members of senior management to the Piraeus, Greece office, home of our operational platform, in order to enhance execution, efficiency and operational excellence and to reduce overheads. By the end of 2020, we had concluded these organizational changes, having closed the Monaco office and substantially reduced the number of employees in our London office.</w:t>
      </w:r>
    </w:p>
    <w:p>
      <w:pPr>
        <w:spacing w:after="0" w:line="142" w:lineRule="exact"/>
        <w:rPr>
          <w:sz w:val="20"/>
          <w:szCs w:val="20"/>
          <w:color w:val="auto"/>
        </w:rPr>
      </w:pPr>
    </w:p>
    <w:p>
      <w:pPr>
        <w:ind w:right="560" w:firstLine="351"/>
        <w:spacing w:after="0" w:line="259" w:lineRule="auto"/>
        <w:rPr>
          <w:sz w:val="20"/>
          <w:szCs w:val="20"/>
          <w:color w:val="auto"/>
        </w:rPr>
      </w:pPr>
      <w:r>
        <w:rPr>
          <w:rFonts w:ascii="Arial" w:cs="Arial" w:eastAsia="Arial" w:hAnsi="Arial"/>
          <w:sz w:val="18"/>
          <w:szCs w:val="18"/>
          <w:color w:val="auto"/>
        </w:rPr>
        <w:t>In August 2020, as the next phase in our strategy to enhance efficiency and reduce costs, we announced that the decision had been taken to include GasLog Partners and the Stamford office in the initiative. We reduced the size of the Partnership's board of directors from seven to five and closed the Stamford, Connecticut office.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The offices in Singapore and Korea have been unaffected by the changes. We incurred total restructuring costs of approximately $10.0 million</w:t>
      </w:r>
    </w:p>
    <w:p>
      <w:pPr>
        <w:spacing w:after="0" w:line="38"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($5.3 million in the year ended December 31, 2020 and $4.7 million in the year ended December 31, 2019). In 2021 and beyond, we expect like-for-like General and Administrative Expenses to fall by a similar amount of approximately $9.0 million.</w:t>
      </w:r>
    </w:p>
    <w:p>
      <w:pPr>
        <w:spacing w:after="0" w:line="193"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February 6, 2020, GasLog Partners guided towards a reduction in its quarterly distribution from the first quarter of 2020 as a result of a number of increasingly strong negative indicators in the LNG shipping market. The Partnership reduced its quarterly common unit distribution to $0.125 in the first quarter of 2020 from $0.561 per unit for the fourth quarter 2019, followed by a further reduction to $0.01 per common unit beginning with the third quarter of 2020. GasLog Partners is now focusing capital allocation on debt repayment and prioritizing balance sheet strength for 2020, in order to lower cash break-evens and to reposition the Partnership for potential future growth if its cost of capital allows GasLog Partners to access debt and equity capital on acceptable terms.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March 1, 2021:</w:t>
      </w: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Cargo</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(for contracts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Charter</w:t>
            </w:r>
          </w:p>
        </w:tc>
        <w:tc>
          <w:tcPr>
            <w:tcW w:w="160" w:type="dxa"/>
            <w:vAlign w:val="bottom"/>
          </w:tcPr>
          <w:p>
            <w:pPr>
              <w:spacing w:after="0"/>
              <w:rPr>
                <w:sz w:val="18"/>
                <w:szCs w:val="18"/>
                <w:color w:val="auto"/>
              </w:rPr>
            </w:pPr>
          </w:p>
        </w:tc>
        <w:tc>
          <w:tcPr>
            <w:tcW w:w="10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20"/>
              <w:spacing w:after="0" w:line="179" w:lineRule="exact"/>
              <w:rPr>
                <w:sz w:val="20"/>
                <w:szCs w:val="20"/>
                <w:color w:val="auto"/>
              </w:rPr>
            </w:pPr>
            <w:r>
              <w:rPr>
                <w:rFonts w:ascii="Arial" w:cs="Arial" w:eastAsia="Arial" w:hAnsi="Arial"/>
                <w:sz w:val="18"/>
                <w:szCs w:val="18"/>
                <w:b w:val="1"/>
                <w:bCs w:val="1"/>
                <w:color w:val="auto"/>
              </w:rPr>
              <w:t>Capacity</w:t>
            </w:r>
          </w:p>
        </w:tc>
        <w:tc>
          <w:tcPr>
            <w:tcW w:w="116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8"/>
              </w:rPr>
              <w:t>of more than</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380" w:type="dxa"/>
            <w:vAlign w:val="bottom"/>
            <w:gridSpan w:val="3"/>
          </w:tcPr>
          <w:p>
            <w:pPr>
              <w:ind w:left="20"/>
              <w:spacing w:after="0"/>
              <w:rPr>
                <w:sz w:val="20"/>
                <w:szCs w:val="20"/>
                <w:color w:val="auto"/>
              </w:rPr>
            </w:pPr>
            <w:r>
              <w:rPr>
                <w:rFonts w:ascii="Arial" w:cs="Arial" w:eastAsia="Arial" w:hAnsi="Arial"/>
                <w:sz w:val="18"/>
                <w:szCs w:val="18"/>
                <w:b w:val="1"/>
                <w:bCs w:val="1"/>
                <w:color w:val="auto"/>
              </w:rPr>
              <w:t>Vessel Name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Year Built</w:t>
            </w: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(cbm)</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six months)</w:t>
            </w:r>
          </w:p>
        </w:tc>
        <w:tc>
          <w:tcPr>
            <w:tcW w:w="16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7"/>
              </w:rPr>
              <w:t>Propulsion</w:t>
            </w:r>
          </w:p>
        </w:tc>
        <w:tc>
          <w:tcPr>
            <w:tcW w:w="160" w:type="dxa"/>
            <w:vAlign w:val="bottom"/>
          </w:tcPr>
          <w:p>
            <w:pPr>
              <w:spacing w:after="0"/>
              <w:rPr>
                <w:sz w:val="23"/>
                <w:szCs w:val="23"/>
                <w:color w:val="auto"/>
              </w:rPr>
            </w:pPr>
          </w:p>
        </w:tc>
        <w:tc>
          <w:tcPr>
            <w:tcW w:w="130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7"/>
              </w:rPr>
              <w:t>Expiration</w:t>
            </w:r>
            <w:r>
              <w:rPr>
                <w:rFonts w:ascii="Arial" w:cs="Arial" w:eastAsia="Arial" w:hAnsi="Arial"/>
                <w:sz w:val="29"/>
                <w:szCs w:val="29"/>
                <w:b w:val="1"/>
                <w:bCs w:val="1"/>
                <w:color w:val="auto"/>
                <w:w w:val="87"/>
                <w:vertAlign w:val="superscript"/>
              </w:rPr>
              <w:t>(1)</w:t>
            </w:r>
          </w:p>
        </w:tc>
        <w:tc>
          <w:tcPr>
            <w:tcW w:w="160" w:type="dxa"/>
            <w:vAlign w:val="bottom"/>
          </w:tcPr>
          <w:p>
            <w:pPr>
              <w:spacing w:after="0"/>
              <w:rPr>
                <w:sz w:val="23"/>
                <w:szCs w:val="23"/>
                <w:color w:val="auto"/>
              </w:rPr>
            </w:pPr>
          </w:p>
        </w:tc>
        <w:tc>
          <w:tcPr>
            <w:tcW w:w="1000" w:type="dxa"/>
            <w:vAlign w:val="bottom"/>
          </w:tcPr>
          <w:p>
            <w:pPr>
              <w:ind w:left="180"/>
              <w:spacing w:after="0" w:line="267"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Lydon Volney</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Savannah</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2010</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155,000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Skagen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Saratoga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155,000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Chelsea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153,600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Glencore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2022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Salem</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155,000</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Gunvor</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2022</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Genoa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174,000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2027</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2030 - 2033</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Windsor</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180,000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April 2027</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9</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Westminster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180,000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2027</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Georgetown</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174,000</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November 2027</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2030 - 2034</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Galveston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174,000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2028</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2031 - 2035</w:t>
            </w:r>
          </w:p>
        </w:tc>
        <w:tc>
          <w:tcPr>
            <w:tcW w:w="0" w:type="dxa"/>
            <w:vAlign w:val="bottom"/>
          </w:tcPr>
          <w:p>
            <w:pPr>
              <w:spacing w:after="0"/>
              <w:rPr>
                <w:sz w:val="1"/>
                <w:szCs w:val="1"/>
                <w:color w:val="auto"/>
              </w:rPr>
            </w:pPr>
          </w:p>
        </w:tc>
      </w:tr>
      <w:tr>
        <w:trPr>
          <w:trHeight w:val="216"/>
        </w:trPr>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1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Gladstone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174,000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January 2029</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2032 - 2035</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13</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Warsaw</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180,000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1"/>
              </w:rPr>
              <w:t>Endesa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May 2029</w:t>
            </w:r>
          </w:p>
        </w:tc>
        <w:tc>
          <w:tcPr>
            <w:tcW w:w="11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2035 - 2041</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14</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Singapore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center"/>
              <w:spacing w:after="0" w:line="256" w:lineRule="exact"/>
              <w:rPr>
                <w:sz w:val="20"/>
                <w:szCs w:val="20"/>
                <w:color w:val="auto"/>
              </w:rPr>
            </w:pPr>
            <w:r>
              <w:rPr>
                <w:rFonts w:ascii="Arial" w:cs="Arial" w:eastAsia="Arial" w:hAnsi="Arial"/>
                <w:sz w:val="18"/>
                <w:szCs w:val="18"/>
                <w:color w:val="auto"/>
                <w:w w:val="85"/>
              </w:rPr>
              <w:t>Sinolam</w:t>
            </w:r>
            <w:r>
              <w:rPr>
                <w:rFonts w:ascii="Arial" w:cs="Arial" w:eastAsia="Arial" w:hAnsi="Arial"/>
                <w:sz w:val="29"/>
                <w:szCs w:val="29"/>
                <w:color w:val="auto"/>
                <w:w w:val="85"/>
                <w:vertAlign w:val="superscript"/>
              </w:rPr>
              <w:t>(3)</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September 2031</w:t>
            </w:r>
          </w:p>
        </w:tc>
        <w:tc>
          <w:tcPr>
            <w:tcW w:w="1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15</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Wales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180,000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Jera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2032</w:t>
            </w:r>
          </w:p>
        </w:tc>
        <w:tc>
          <w:tcPr>
            <w:tcW w:w="11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2035 - 2038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March 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Cargo</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(for contracts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Charter</w:t>
            </w:r>
          </w:p>
        </w:tc>
        <w:tc>
          <w:tcPr>
            <w:tcW w:w="160" w:type="dxa"/>
            <w:vAlign w:val="bottom"/>
          </w:tcPr>
          <w:p>
            <w:pPr>
              <w:spacing w:after="0"/>
              <w:rPr>
                <w:sz w:val="18"/>
                <w:szCs w:val="18"/>
                <w:color w:val="auto"/>
              </w:rPr>
            </w:pPr>
          </w:p>
        </w:tc>
        <w:tc>
          <w:tcPr>
            <w:tcW w:w="1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20"/>
              <w:spacing w:after="0" w:line="179" w:lineRule="exact"/>
              <w:rPr>
                <w:sz w:val="20"/>
                <w:szCs w:val="20"/>
                <w:color w:val="auto"/>
              </w:rPr>
            </w:pPr>
            <w:r>
              <w:rPr>
                <w:rFonts w:ascii="Arial" w:cs="Arial" w:eastAsia="Arial" w:hAnsi="Arial"/>
                <w:sz w:val="18"/>
                <w:szCs w:val="18"/>
                <w:b w:val="1"/>
                <w:bCs w:val="1"/>
                <w:color w:val="auto"/>
              </w:rPr>
              <w:t>Capacity</w:t>
            </w:r>
          </w:p>
        </w:tc>
        <w:tc>
          <w:tcPr>
            <w:tcW w:w="12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8"/>
              </w:rPr>
              <w:t>of more than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Vessel Name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Year Built</w:t>
            </w:r>
          </w:p>
        </w:tc>
        <w:tc>
          <w:tcPr>
            <w:tcW w:w="860" w:type="dxa"/>
            <w:vAlign w:val="bottom"/>
            <w:gridSpan w:val="2"/>
          </w:tcPr>
          <w:p>
            <w:pPr>
              <w:ind w:left="140"/>
              <w:spacing w:after="0"/>
              <w:rPr>
                <w:sz w:val="20"/>
                <w:szCs w:val="20"/>
                <w:color w:val="auto"/>
              </w:rPr>
            </w:pPr>
            <w:r>
              <w:rPr>
                <w:rFonts w:ascii="Arial" w:cs="Arial" w:eastAsia="Arial" w:hAnsi="Arial"/>
                <w:sz w:val="18"/>
                <w:szCs w:val="18"/>
                <w:b w:val="1"/>
                <w:bCs w:val="1"/>
                <w:color w:val="auto"/>
              </w:rPr>
              <w:t>(cbm)</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six months)</w:t>
            </w:r>
          </w:p>
        </w:tc>
        <w:tc>
          <w:tcPr>
            <w:tcW w:w="1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Propulsion</w:t>
            </w:r>
          </w:p>
        </w:tc>
        <w:tc>
          <w:tcPr>
            <w:tcW w:w="160" w:type="dxa"/>
            <w:vAlign w:val="bottom"/>
          </w:tcPr>
          <w:p>
            <w:pPr>
              <w:spacing w:after="0"/>
              <w:rPr>
                <w:sz w:val="23"/>
                <w:szCs w:val="23"/>
                <w:color w:val="auto"/>
              </w:rPr>
            </w:pPr>
          </w:p>
        </w:tc>
        <w:tc>
          <w:tcPr>
            <w:tcW w:w="1240" w:type="dxa"/>
            <w:vAlign w:val="bottom"/>
          </w:tcPr>
          <w:p>
            <w:pPr>
              <w:jc w:val="center"/>
              <w:spacing w:after="0" w:line="267" w:lineRule="exact"/>
              <w:rPr>
                <w:sz w:val="20"/>
                <w:szCs w:val="20"/>
                <w:color w:val="auto"/>
              </w:rPr>
            </w:pPr>
            <w:r>
              <w:rPr>
                <w:rFonts w:ascii="Arial" w:cs="Arial" w:eastAsia="Arial" w:hAnsi="Arial"/>
                <w:sz w:val="18"/>
                <w:szCs w:val="18"/>
                <w:b w:val="1"/>
                <w:bCs w:val="1"/>
                <w:color w:val="auto"/>
                <w:w w:val="87"/>
              </w:rPr>
              <w:t>Expiration</w:t>
            </w:r>
            <w:r>
              <w:rPr>
                <w:rFonts w:ascii="Arial" w:cs="Arial" w:eastAsia="Arial" w:hAnsi="Arial"/>
                <w:sz w:val="29"/>
                <w:szCs w:val="29"/>
                <w:b w:val="1"/>
                <w:bCs w:val="1"/>
                <w:color w:val="auto"/>
                <w:w w:val="87"/>
                <w:vertAlign w:val="superscript"/>
              </w:rPr>
              <w:t>(1)</w:t>
            </w:r>
          </w:p>
        </w:tc>
        <w:tc>
          <w:tcPr>
            <w:tcW w:w="160" w:type="dxa"/>
            <w:vAlign w:val="bottom"/>
          </w:tcPr>
          <w:p>
            <w:pPr>
              <w:spacing w:after="0"/>
              <w:rPr>
                <w:sz w:val="23"/>
                <w:szCs w:val="23"/>
                <w:color w:val="auto"/>
              </w:rPr>
            </w:pPr>
          </w:p>
        </w:tc>
        <w:tc>
          <w:tcPr>
            <w:tcW w:w="1940" w:type="dxa"/>
            <w:vAlign w:val="bottom"/>
            <w:gridSpan w:val="2"/>
          </w:tcPr>
          <w:p>
            <w:pPr>
              <w:ind w:left="120"/>
              <w:spacing w:after="0" w:line="267"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145,000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Sydney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Seattle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155,000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Solaris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August2021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Santiago</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155,000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Trafigura</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December 2021</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2022 - 2028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JOVO</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Shanghai</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155,000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Gunvor</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November 2022</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9</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2023</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2024 - 2025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Geneva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174,000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September 2023</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2028 - 2031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CNTIC VPower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2023</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2024 - 2025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Gibraltar</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174,000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2028 - 2031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13</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Methane Becki Anne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170,000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2024</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2027 - 2029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224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Greece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174,000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March 2026</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15</w:t>
            </w:r>
          </w:p>
        </w:tc>
        <w:tc>
          <w:tcPr>
            <w:tcW w:w="224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Glasgow</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174,000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2"/>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Bareboat Vessels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Cargo</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3"/>
                <w:szCs w:val="13"/>
                <w:color w:val="auto"/>
              </w:rPr>
            </w:pPr>
          </w:p>
        </w:tc>
        <w:tc>
          <w:tcPr>
            <w:tcW w:w="110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Optional</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Capacity</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00" w:type="dxa"/>
            <w:vAlign w:val="bottom"/>
            <w:gridSpan w:val="4"/>
          </w:tcPr>
          <w:p>
            <w:pPr>
              <w:ind w:left="20"/>
              <w:spacing w:after="0"/>
              <w:rPr>
                <w:sz w:val="20"/>
                <w:szCs w:val="20"/>
                <w:color w:val="auto"/>
              </w:rPr>
            </w:pPr>
            <w:r>
              <w:rPr>
                <w:rFonts w:ascii="Arial" w:cs="Arial" w:eastAsia="Arial" w:hAnsi="Arial"/>
                <w:sz w:val="13"/>
                <w:szCs w:val="13"/>
                <w:b w:val="1"/>
                <w:bCs w:val="1"/>
                <w:color w:val="auto"/>
              </w:rPr>
              <w:t>Vessel Name</w:t>
            </w: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Year Built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(cbm)</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8"/>
              </w:rPr>
              <w:t>Expiration</w:t>
            </w:r>
            <w:r>
              <w:rPr>
                <w:rFonts w:ascii="Arial" w:cs="Arial" w:eastAsia="Arial" w:hAnsi="Arial"/>
                <w:sz w:val="20"/>
                <w:szCs w:val="20"/>
                <w:b w:val="1"/>
                <w:bCs w:val="1"/>
                <w:color w:val="auto"/>
                <w:w w:val="98"/>
                <w:vertAlign w:val="superscript"/>
              </w:rPr>
              <w:t>(1)</w:t>
            </w:r>
          </w:p>
        </w:tc>
        <w:tc>
          <w:tcPr>
            <w:tcW w:w="160" w:type="dxa"/>
            <w:vAlign w:val="bottom"/>
          </w:tcPr>
          <w:p>
            <w:pPr>
              <w:spacing w:after="0"/>
              <w:rPr>
                <w:sz w:val="15"/>
                <w:szCs w:val="15"/>
                <w:color w:val="auto"/>
              </w:rPr>
            </w:pPr>
          </w:p>
        </w:tc>
        <w:tc>
          <w:tcPr>
            <w:tcW w:w="1100" w:type="dxa"/>
            <w:vAlign w:val="bottom"/>
          </w:tcPr>
          <w:p>
            <w:pPr>
              <w:ind w:left="300"/>
              <w:spacing w:after="0" w:line="176" w:lineRule="exact"/>
              <w:rPr>
                <w:sz w:val="20"/>
                <w:szCs w:val="20"/>
                <w:color w:val="auto"/>
              </w:rPr>
            </w:pPr>
            <w:r>
              <w:rPr>
                <w:rFonts w:ascii="Arial" w:cs="Arial" w:eastAsia="Arial" w:hAnsi="Arial"/>
                <w:sz w:val="12"/>
                <w:szCs w:val="12"/>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460" w:type="dxa"/>
            <w:vAlign w:val="bottom"/>
            <w:gridSpan w:val="3"/>
            <w:shd w:val="clear" w:color="auto" w:fill="CCEEFF"/>
          </w:tcPr>
          <w:p>
            <w:pPr>
              <w:ind w:left="140"/>
              <w:spacing w:after="0" w:line="250" w:lineRule="exact"/>
              <w:rPr>
                <w:sz w:val="20"/>
                <w:szCs w:val="20"/>
                <w:color w:val="auto"/>
              </w:rPr>
            </w:pPr>
            <w:r>
              <w:rPr>
                <w:rFonts w:ascii="Arial" w:cs="Arial" w:eastAsia="Arial" w:hAnsi="Arial"/>
                <w:sz w:val="17"/>
                <w:szCs w:val="17"/>
                <w:i w:val="1"/>
                <w:iCs w:val="1"/>
                <w:color w:val="auto"/>
              </w:rPr>
              <w:t>GasLog Hong Kong</w:t>
            </w:r>
            <w:r>
              <w:rPr>
                <w:rFonts w:ascii="Arial" w:cs="Arial" w:eastAsia="Arial" w:hAnsi="Arial"/>
                <w:sz w:val="28"/>
                <w:szCs w:val="28"/>
                <w:i w:val="1"/>
                <w:iCs w:val="1"/>
                <w:color w:val="auto"/>
                <w:vertAlign w:val="superscript"/>
              </w:rPr>
              <w:t>(5)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174,000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2025</w:t>
            </w:r>
          </w:p>
        </w:tc>
        <w:tc>
          <w:tcPr>
            <w:tcW w:w="1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57"/>
        </w:trPr>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460" w:type="dxa"/>
            <w:vAlign w:val="bottom"/>
            <w:gridSpan w:val="3"/>
          </w:tcPr>
          <w:p>
            <w:pPr>
              <w:ind w:left="140"/>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i w:val="1"/>
                <w:iCs w:val="1"/>
                <w:color w:val="auto"/>
                <w:vertAlign w:val="superscript"/>
              </w:rPr>
              <w:t>(4)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2010</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170,000</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March 2026</w:t>
            </w:r>
          </w:p>
        </w:tc>
        <w:tc>
          <w:tcPr>
            <w:tcW w:w="12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2029 - 2031</w:t>
            </w:r>
          </w:p>
        </w:tc>
        <w:tc>
          <w:tcPr>
            <w:tcW w:w="0" w:type="dxa"/>
            <w:vAlign w:val="bottom"/>
          </w:tcPr>
          <w:p>
            <w:pPr>
              <w:spacing w:after="0"/>
              <w:rPr>
                <w:sz w:val="1"/>
                <w:szCs w:val="1"/>
                <w:color w:val="auto"/>
              </w:rPr>
            </w:pPr>
          </w:p>
        </w:tc>
      </w:tr>
      <w:tr>
        <w:trPr>
          <w:trHeight w:val="257"/>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2460" w:type="dxa"/>
            <w:vAlign w:val="bottom"/>
            <w:gridSpan w:val="3"/>
            <w:shd w:val="clear" w:color="auto" w:fill="CCEEFF"/>
          </w:tcPr>
          <w:p>
            <w:pPr>
              <w:ind w:left="140"/>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i w:val="1"/>
                <w:iCs w:val="1"/>
                <w:color w:val="auto"/>
                <w:vertAlign w:val="superscript"/>
              </w:rPr>
              <w:t>(6)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174,000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X-DF</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2028</w:t>
            </w:r>
          </w:p>
        </w:tc>
        <w:tc>
          <w:tcPr>
            <w:tcW w:w="12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2031 - 2034</w:t>
            </w: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47"/>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680" w:right="20" w:hanging="549"/>
        <w:spacing w:after="0" w:line="262" w:lineRule="auto"/>
        <w:tabs>
          <w:tab w:leader="none" w:pos="1680" w:val="left"/>
        </w:tabs>
        <w:numPr>
          <w:ilvl w:val="0"/>
          <w:numId w:val="47"/>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 xml:space="preserve">GasLog Glasgow </w:t>
      </w:r>
      <w:r>
        <w:rPr>
          <w:rFonts w:ascii="Arial" w:cs="Arial" w:eastAsia="Arial" w:hAnsi="Arial"/>
          <w:sz w:val="12"/>
          <w:szCs w:val="12"/>
          <w:color w:val="auto"/>
        </w:rPr>
        <w:t>has the right to extend the charters for a period of five years at the charterer's option. The charterer of the</w:t>
      </w:r>
      <w:r>
        <w:rPr>
          <w:rFonts w:ascii="Arial" w:cs="Arial" w:eastAsia="Arial" w:hAnsi="Arial"/>
          <w:sz w:val="12"/>
          <w:szCs w:val="12"/>
          <w:i w:val="1"/>
          <w:iCs w:val="1"/>
          <w:color w:val="auto"/>
        </w:rPr>
        <w:t xml:space="preserve"> GasLog Geneva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GasLog Gibraltar </w:t>
      </w:r>
      <w:r>
        <w:rPr>
          <w:rFonts w:ascii="Arial" w:cs="Arial" w:eastAsia="Arial" w:hAnsi="Arial"/>
          <w:sz w:val="12"/>
          <w:szCs w:val="12"/>
          <w:color w:val="auto"/>
        </w:rPr>
        <w:t>has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right to extend the charter by two additional periods of five and three years, respectively, provided that the charterer provides us with advance notice 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Genoa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Gladstone</w:t>
      </w:r>
      <w:r>
        <w:rPr>
          <w:rFonts w:ascii="Arial" w:cs="Arial" w:eastAsia="Arial" w:hAnsi="Arial"/>
          <w:sz w:val="12"/>
          <w:szCs w:val="12"/>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2"/>
          <w:szCs w:val="12"/>
          <w:i w:val="1"/>
          <w:iCs w:val="1"/>
          <w:color w:val="auto"/>
        </w:rPr>
        <w:t>GasLog Hong Kong</w:t>
      </w:r>
      <w:r>
        <w:rPr>
          <w:rFonts w:ascii="Arial" w:cs="Arial" w:eastAsia="Arial" w:hAnsi="Arial"/>
          <w:sz w:val="12"/>
          <w:szCs w:val="12"/>
          <w:color w:val="auto"/>
        </w:rPr>
        <w:t xml:space="preserve"> has the right to extend the charter for a period of three years, provided that the charterer provides us with advance notice of declaration. Endesa has the right to extend the charter of the </w:t>
      </w:r>
      <w:r>
        <w:rPr>
          <w:rFonts w:ascii="Arial" w:cs="Arial" w:eastAsia="Arial" w:hAnsi="Arial"/>
          <w:sz w:val="12"/>
          <w:szCs w:val="12"/>
          <w:i w:val="1"/>
          <w:iCs w:val="1"/>
          <w:color w:val="auto"/>
        </w:rPr>
        <w:t>GasLog Warsaw</w:t>
      </w:r>
      <w:r>
        <w:rPr>
          <w:rFonts w:ascii="Arial" w:cs="Arial" w:eastAsia="Arial" w:hAnsi="Arial"/>
          <w:sz w:val="12"/>
          <w:szCs w:val="12"/>
          <w:color w:val="auto"/>
        </w:rPr>
        <w:t xml:space="preserve"> by two additional periods of six years, provided that the charterer provides us with advance notice of declaration. The charterer of the </w:t>
      </w:r>
      <w:r>
        <w:rPr>
          <w:rFonts w:ascii="Arial" w:cs="Arial" w:eastAsia="Arial" w:hAnsi="Arial"/>
          <w:sz w:val="12"/>
          <w:szCs w:val="12"/>
          <w:i w:val="1"/>
          <w:iCs w:val="1"/>
          <w:color w:val="auto"/>
        </w:rPr>
        <w:t>GasLog Windsor</w:t>
      </w:r>
      <w:r>
        <w:rPr>
          <w:rFonts w:ascii="Arial" w:cs="Arial" w:eastAsia="Arial" w:hAnsi="Arial"/>
          <w:sz w:val="12"/>
          <w:szCs w:val="12"/>
          <w:color w:val="auto"/>
        </w:rPr>
        <w:t xml:space="preserve"> has the right to extend the charter by three additional periods of two years, provided that the charterer provides us with advance notice of declaration. The charterer of the </w:t>
      </w:r>
      <w:r>
        <w:rPr>
          <w:rFonts w:ascii="Arial" w:cs="Arial" w:eastAsia="Arial" w:hAnsi="Arial"/>
          <w:sz w:val="12"/>
          <w:szCs w:val="12"/>
          <w:i w:val="1"/>
          <w:iCs w:val="1"/>
          <w:color w:val="auto"/>
        </w:rPr>
        <w:t>GasLog Wales</w:t>
      </w:r>
      <w:r>
        <w:rPr>
          <w:rFonts w:ascii="Arial" w:cs="Arial" w:eastAsia="Arial" w:hAnsi="Arial"/>
          <w:sz w:val="12"/>
          <w:szCs w:val="12"/>
          <w:color w:val="auto"/>
        </w:rPr>
        <w:t xml:space="preserve"> has the right to extend the charter by two additional periods of three years, provided that the charterer provides us with advance notice of declaration. The charterer of the </w:t>
      </w:r>
      <w:r>
        <w:rPr>
          <w:rFonts w:ascii="Arial" w:cs="Arial" w:eastAsia="Arial" w:hAnsi="Arial"/>
          <w:sz w:val="12"/>
          <w:szCs w:val="12"/>
          <w:i w:val="1"/>
          <w:iCs w:val="1"/>
          <w:color w:val="auto"/>
        </w:rPr>
        <w:t>GasLog Westminster</w:t>
      </w:r>
      <w:r>
        <w:rPr>
          <w:rFonts w:ascii="Arial" w:cs="Arial" w:eastAsia="Arial" w:hAnsi="Arial"/>
          <w:sz w:val="12"/>
          <w:szCs w:val="12"/>
          <w:color w:val="auto"/>
        </w:rPr>
        <w:t xml:space="preserve"> has the right to extend the charter by three additional periods of two years, provided that the charterer provides us with advance notice of declaration. The charterer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may extend the term of the related charter by two additional periods of one year, provided that the charterer gives us advance notice of its exercise of any extension option. The charterer of the </w:t>
      </w:r>
      <w:r>
        <w:rPr>
          <w:rFonts w:ascii="Arial" w:cs="Arial" w:eastAsia="Arial" w:hAnsi="Arial"/>
          <w:sz w:val="12"/>
          <w:szCs w:val="12"/>
          <w:i w:val="1"/>
          <w:iCs w:val="1"/>
          <w:color w:val="auto"/>
        </w:rPr>
        <w:t>Methane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Jane Elizabeth </w:t>
      </w:r>
      <w:r>
        <w:rPr>
          <w:rFonts w:ascii="Arial" w:cs="Arial" w:eastAsia="Arial" w:hAnsi="Arial"/>
          <w:sz w:val="12"/>
          <w:szCs w:val="12"/>
          <w:color w:val="auto"/>
        </w:rPr>
        <w:t>has the right to extend the term of related charter by two additional periods of one year, respectively, provided that the charterer gives us advance notice of its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exercise of any extension option. The charterer of the </w:t>
      </w:r>
      <w:r>
        <w:rPr>
          <w:rFonts w:ascii="Arial" w:cs="Arial" w:eastAsia="Arial" w:hAnsi="Arial"/>
          <w:sz w:val="12"/>
          <w:szCs w:val="12"/>
          <w:i w:val="1"/>
          <w:iCs w:val="1"/>
          <w:color w:val="auto"/>
        </w:rPr>
        <w:t>GasLog Georgetown</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Galveston</w:t>
      </w:r>
      <w:r>
        <w:rPr>
          <w:rFonts w:ascii="Arial" w:cs="Arial" w:eastAsia="Arial" w:hAnsi="Arial"/>
          <w:sz w:val="12"/>
          <w:szCs w:val="12"/>
          <w:color w:val="auto"/>
        </w:rPr>
        <w:t xml:space="preserve"> has the right to extend the charters by three consecutive periods of three years, two years and two years, respectively, each at the charterer's option.</w:t>
      </w:r>
    </w:p>
    <w:p>
      <w:pPr>
        <w:spacing w:after="0" w:line="98" w:lineRule="exact"/>
        <w:rPr>
          <w:rFonts w:ascii="Arial" w:cs="Arial" w:eastAsia="Arial" w:hAnsi="Arial"/>
          <w:sz w:val="10"/>
          <w:szCs w:val="10"/>
          <w:color w:val="auto"/>
        </w:rPr>
      </w:pPr>
    </w:p>
    <w:p>
      <w:pPr>
        <w:ind w:left="1680" w:hanging="549"/>
        <w:spacing w:after="0"/>
        <w:tabs>
          <w:tab w:leader="none" w:pos="1680" w:val="left"/>
        </w:tabs>
        <w:numPr>
          <w:ilvl w:val="0"/>
          <w:numId w:val="47"/>
        </w:numPr>
        <w:rPr>
          <w:rFonts w:ascii="Arial" w:cs="Arial" w:eastAsia="Arial" w:hAnsi="Arial"/>
          <w:sz w:val="10"/>
          <w:szCs w:val="10"/>
          <w:color w:val="auto"/>
        </w:rPr>
      </w:pPr>
      <w:r>
        <w:rPr>
          <w:rFonts w:ascii="Arial" w:cs="Arial" w:eastAsia="Arial" w:hAnsi="Arial"/>
          <w:sz w:val="12"/>
          <w:szCs w:val="12"/>
          <w:color w:val="auto"/>
        </w:rPr>
        <w:t>The vessel is currently trading in the spot market and has been chartered to Sinolam for the provision of an FSU after the vessel's dry-docking and conversion to an FSU.</w:t>
      </w:r>
    </w:p>
    <w:p>
      <w:pPr>
        <w:spacing w:after="0" w:line="145" w:lineRule="exact"/>
        <w:rPr>
          <w:rFonts w:ascii="Arial" w:cs="Arial" w:eastAsia="Arial" w:hAnsi="Arial"/>
          <w:sz w:val="10"/>
          <w:szCs w:val="10"/>
          <w:color w:val="auto"/>
        </w:rPr>
      </w:pPr>
    </w:p>
    <w:p>
      <w:pPr>
        <w:ind w:left="1680" w:right="60" w:hanging="549"/>
        <w:spacing w:after="0" w:line="256" w:lineRule="auto"/>
        <w:tabs>
          <w:tab w:leader="none" w:pos="1680" w:val="left"/>
        </w:tabs>
        <w:numPr>
          <w:ilvl w:val="0"/>
          <w:numId w:val="47"/>
        </w:numPr>
        <w:rPr>
          <w:rFonts w:ascii="Arial" w:cs="Arial" w:eastAsia="Arial" w:hAnsi="Arial"/>
          <w:sz w:val="11"/>
          <w:szCs w:val="11"/>
          <w:color w:val="auto"/>
        </w:rPr>
      </w:pPr>
      <w:r>
        <w:rPr>
          <w:rFonts w:ascii="Arial" w:cs="Arial" w:eastAsia="Arial" w:hAnsi="Arial"/>
          <w:sz w:val="13"/>
          <w:szCs w:val="13"/>
          <w:color w:val="auto"/>
        </w:rPr>
        <w:t xml:space="preserve">On October 21, 2020, GasLog's subsidiary, GAS-twenty five Ltd., completed the sale and leaseback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with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w:t>
      </w:r>
    </w:p>
    <w:p>
      <w:pPr>
        <w:spacing w:after="0" w:line="102" w:lineRule="exact"/>
        <w:rPr>
          <w:rFonts w:ascii="Arial" w:cs="Arial" w:eastAsia="Arial" w:hAnsi="Arial"/>
          <w:sz w:val="11"/>
          <w:szCs w:val="11"/>
          <w:color w:val="auto"/>
        </w:rPr>
      </w:pPr>
    </w:p>
    <w:p>
      <w:pPr>
        <w:ind w:left="1680" w:right="180" w:hanging="549"/>
        <w:spacing w:after="0" w:line="247" w:lineRule="auto"/>
        <w:tabs>
          <w:tab w:leader="none" w:pos="1680" w:val="left"/>
        </w:tabs>
        <w:numPr>
          <w:ilvl w:val="0"/>
          <w:numId w:val="47"/>
        </w:numPr>
        <w:rPr>
          <w:rFonts w:ascii="Arial" w:cs="Arial" w:eastAsia="Arial" w:hAnsi="Arial"/>
          <w:sz w:val="11"/>
          <w:szCs w:val="11"/>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08" w:lineRule="exact"/>
        <w:rPr>
          <w:rFonts w:ascii="Arial" w:cs="Arial" w:eastAsia="Arial" w:hAnsi="Arial"/>
          <w:sz w:val="11"/>
          <w:szCs w:val="11"/>
          <w:color w:val="auto"/>
        </w:rPr>
      </w:pPr>
    </w:p>
    <w:p>
      <w:pPr>
        <w:jc w:val="both"/>
        <w:ind w:left="1680" w:hanging="549"/>
        <w:spacing w:after="0" w:line="250" w:lineRule="auto"/>
        <w:tabs>
          <w:tab w:leader="none" w:pos="1680" w:val="left"/>
        </w:tabs>
        <w:numPr>
          <w:ilvl w:val="0"/>
          <w:numId w:val="47"/>
        </w:numPr>
        <w:rPr>
          <w:rFonts w:ascii="Arial" w:cs="Arial" w:eastAsia="Arial" w:hAnsi="Arial"/>
          <w:sz w:val="11"/>
          <w:szCs w:val="11"/>
          <w:color w:val="auto"/>
        </w:rPr>
      </w:pPr>
      <w:r>
        <w:rPr>
          <w:rFonts w:ascii="Arial" w:cs="Arial" w:eastAsia="Arial" w:hAnsi="Arial"/>
          <w:sz w:val="13"/>
          <w:szCs w:val="13"/>
          <w:color w:val="auto"/>
        </w:rPr>
        <w:t xml:space="preserve">On January 22, 2021, GasLog's subsidiary, GAS-twenty four Ltd., completed the sale and leaseback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with Hai Kuo Shipping. GasLog has leased back the vessel under a bareboat charter from Hai Kuo Shipping for a period of up to eight years. GasLog has the obligation to re-purchase the vessel at end of the charter period. GasLog has also the option to re-purchase the vessel on pre-agreed terms no earlier than the end of the first interest period and no later than the end of year 8 of the bareboat charter. The vessel remains on its charter with Shell.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Newbuilds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3"/>
              </w:rPr>
              <w:t>Expected</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Cargo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2"/>
                <w:szCs w:val="12"/>
                <w:color w:val="auto"/>
              </w:rPr>
            </w:pPr>
          </w:p>
        </w:tc>
        <w:tc>
          <w:tcPr>
            <w:tcW w:w="2460" w:type="dxa"/>
            <w:vAlign w:val="bottom"/>
            <w:gridSpan w:val="2"/>
            <w:vMerge w:val="restart"/>
          </w:tcPr>
          <w:p>
            <w:pPr>
              <w:jc w:val="center"/>
              <w:ind w:right="1060"/>
              <w:spacing w:after="0"/>
              <w:rPr>
                <w:sz w:val="20"/>
                <w:szCs w:val="20"/>
                <w:color w:val="auto"/>
              </w:rPr>
            </w:pPr>
            <w:r>
              <w:rPr>
                <w:rFonts w:ascii="Arial" w:cs="Arial" w:eastAsia="Arial" w:hAnsi="Arial"/>
                <w:sz w:val="13"/>
                <w:szCs w:val="13"/>
                <w:b w:val="1"/>
                <w:bCs w:val="1"/>
                <w:color w:val="auto"/>
                <w:w w:val="98"/>
              </w:rPr>
              <w:t>Optional</w:t>
            </w: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5"/>
              </w:rPr>
              <w:t>Capacity</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2160" w:type="dxa"/>
            <w:vAlign w:val="bottom"/>
            <w:gridSpan w:val="4"/>
          </w:tcPr>
          <w:p>
            <w:pPr>
              <w:ind w:left="20"/>
              <w:spacing w:after="0"/>
              <w:rPr>
                <w:sz w:val="20"/>
                <w:szCs w:val="20"/>
                <w:color w:val="auto"/>
              </w:rPr>
            </w:pPr>
            <w:r>
              <w:rPr>
                <w:rFonts w:ascii="Arial" w:cs="Arial" w:eastAsia="Arial" w:hAnsi="Arial"/>
                <w:sz w:val="13"/>
                <w:szCs w:val="13"/>
                <w:b w:val="1"/>
                <w:bCs w:val="1"/>
                <w:color w:val="auto"/>
              </w:rPr>
              <w:t>Vessel Name</w:t>
            </w:r>
          </w:p>
        </w:tc>
        <w:tc>
          <w:tcPr>
            <w:tcW w:w="1260" w:type="dxa"/>
            <w:vAlign w:val="bottom"/>
            <w:gridSpan w:val="2"/>
          </w:tcPr>
          <w:p>
            <w:pPr>
              <w:jc w:val="center"/>
              <w:ind w:right="160"/>
              <w:spacing w:after="0" w:line="176" w:lineRule="exact"/>
              <w:rPr>
                <w:sz w:val="20"/>
                <w:szCs w:val="20"/>
                <w:color w:val="auto"/>
              </w:rPr>
            </w:pPr>
            <w:r>
              <w:rPr>
                <w:rFonts w:ascii="Arial" w:cs="Arial" w:eastAsia="Arial" w:hAnsi="Arial"/>
                <w:sz w:val="12"/>
                <w:szCs w:val="12"/>
                <w:b w:val="1"/>
                <w:bCs w:val="1"/>
                <w:color w:val="auto"/>
                <w:w w:val="98"/>
              </w:rPr>
              <w:t>Delivery</w:t>
            </w:r>
            <w:r>
              <w:rPr>
                <w:rFonts w:ascii="Arial" w:cs="Arial" w:eastAsia="Arial" w:hAnsi="Arial"/>
                <w:sz w:val="20"/>
                <w:szCs w:val="20"/>
                <w:b w:val="1"/>
                <w:bCs w:val="1"/>
                <w:color w:val="auto"/>
                <w:w w:val="98"/>
                <w:vertAlign w:val="superscript"/>
              </w:rPr>
              <w:t>(1)</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(cbm)</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2460" w:type="dxa"/>
            <w:vAlign w:val="bottom"/>
            <w:gridSpan w:val="2"/>
          </w:tcPr>
          <w:p>
            <w:pPr>
              <w:jc w:val="center"/>
              <w:ind w:right="1060"/>
              <w:spacing w:after="0" w:line="176" w:lineRule="exact"/>
              <w:rPr>
                <w:sz w:val="20"/>
                <w:szCs w:val="20"/>
                <w:color w:val="auto"/>
              </w:rPr>
            </w:pPr>
            <w:r>
              <w:rPr>
                <w:rFonts w:ascii="Arial" w:cs="Arial" w:eastAsia="Arial" w:hAnsi="Arial"/>
                <w:sz w:val="12"/>
                <w:szCs w:val="12"/>
                <w:b w:val="1"/>
                <w:bCs w:val="1"/>
                <w:color w:val="auto"/>
                <w:w w:val="96"/>
              </w:rPr>
              <w:t>Period</w:t>
            </w:r>
            <w:r>
              <w:rPr>
                <w:rFonts w:ascii="Arial" w:cs="Arial" w:eastAsia="Arial" w:hAnsi="Arial"/>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190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Hull No. 2311</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Q2 2021</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180,000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2028</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2031 - 2035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1900" w:type="dxa"/>
            <w:vAlign w:val="bottom"/>
            <w:gridSpan w:val="3"/>
          </w:tcPr>
          <w:p>
            <w:pPr>
              <w:ind w:left="120"/>
              <w:spacing w:after="0"/>
              <w:rPr>
                <w:sz w:val="20"/>
                <w:szCs w:val="20"/>
                <w:color w:val="auto"/>
              </w:rPr>
            </w:pPr>
            <w:r>
              <w:rPr>
                <w:rFonts w:ascii="Arial" w:cs="Arial" w:eastAsia="Arial" w:hAnsi="Arial"/>
                <w:sz w:val="18"/>
                <w:szCs w:val="18"/>
                <w:i w:val="1"/>
                <w:iCs w:val="1"/>
                <w:color w:val="auto"/>
              </w:rPr>
              <w:t>Hull No. 2312</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Q3 2021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180,000</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2028</w:t>
            </w:r>
          </w:p>
        </w:tc>
        <w:tc>
          <w:tcPr>
            <w:tcW w:w="15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2031 - 2035</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58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1380" w:type="dxa"/>
            <w:vAlign w:val="bottom"/>
            <w:gridSpan w:val="2"/>
          </w:tcPr>
          <w:p>
            <w:pPr>
              <w:ind w:left="1140"/>
              <w:spacing w:after="0"/>
              <w:rPr>
                <w:sz w:val="20"/>
                <w:szCs w:val="20"/>
                <w:color w:val="auto"/>
              </w:rPr>
            </w:pPr>
            <w:r>
              <w:rPr>
                <w:rFonts w:ascii="Arial" w:cs="Arial" w:eastAsia="Arial" w:hAnsi="Arial"/>
                <w:sz w:val="11"/>
                <w:szCs w:val="11"/>
                <w:color w:val="auto"/>
              </w:rPr>
              <w:t>(1)</w:t>
            </w:r>
          </w:p>
        </w:tc>
        <w:tc>
          <w:tcPr>
            <w:tcW w:w="3160" w:type="dxa"/>
            <w:vAlign w:val="bottom"/>
            <w:gridSpan w:val="5"/>
          </w:tcPr>
          <w:p>
            <w:pPr>
              <w:ind w:left="300"/>
              <w:spacing w:after="0"/>
              <w:rPr>
                <w:sz w:val="20"/>
                <w:szCs w:val="20"/>
                <w:color w:val="auto"/>
              </w:rPr>
            </w:pPr>
            <w:r>
              <w:rPr>
                <w:rFonts w:ascii="Arial" w:cs="Arial" w:eastAsia="Arial" w:hAnsi="Arial"/>
                <w:sz w:val="13"/>
                <w:szCs w:val="13"/>
                <w:color w:val="auto"/>
              </w:rPr>
              <w:t>Expected delivery quarters are presented.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49"/>
        <w:spacing w:after="0"/>
        <w:tabs>
          <w:tab w:leader="none" w:pos="1680" w:val="left"/>
        </w:tabs>
        <w:numPr>
          <w:ilvl w:val="0"/>
          <w:numId w:val="48"/>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680" w:right="340" w:hanging="549"/>
        <w:spacing w:after="0" w:line="274" w:lineRule="auto"/>
        <w:tabs>
          <w:tab w:leader="none" w:pos="1680" w:val="left"/>
        </w:tabs>
        <w:numPr>
          <w:ilvl w:val="0"/>
          <w:numId w:val="48"/>
        </w:numPr>
        <w:rPr>
          <w:rFonts w:ascii="Arial" w:cs="Arial" w:eastAsia="Arial" w:hAnsi="Arial"/>
          <w:sz w:val="11"/>
          <w:szCs w:val="11"/>
          <w:color w:val="auto"/>
        </w:rPr>
      </w:pPr>
      <w:r>
        <w:rPr>
          <w:rFonts w:ascii="Arial" w:cs="Arial" w:eastAsia="Arial" w:hAnsi="Arial"/>
          <w:sz w:val="13"/>
          <w:szCs w:val="13"/>
          <w:color w:val="auto"/>
        </w:rPr>
        <w:t>The charterer of Hull Nos. 2311 and 2312 has the right to extend the charters by three consecutive periods of three years, two years and two years, respectively, each at the charterer's 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are due to come off charter in June and August 2021, respectively, while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is due to come off charter in December 2021. GasLog Partners and GasLog recently secured a new two-year time charter for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continue to pursue opportunities for new term charters with third parties and will trade the vessels in the spot/short-term charter market, pursuing the most advantageous redeployment depending on evolving market conditions.</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By the end of 2020, all six of our Steam vessels had ended their initial multi-year time charters with subsidiaries of Shell, while three additional TFDE vessels will also conclude their multi-year charters during 2021. Although we have been successful in finding longer-term employment for some of our available vessels, this has been concluded at current market rates, which are below those achieved during the initial charters.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Fleet Characteristics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owned and bareboat fleet include the following:</w:t>
      </w:r>
    </w:p>
    <w:p>
      <w:pPr>
        <w:spacing w:after="0" w:line="239" w:lineRule="exact"/>
        <w:rPr>
          <w:sz w:val="20"/>
          <w:szCs w:val="20"/>
          <w:color w:val="auto"/>
        </w:rPr>
      </w:pPr>
    </w:p>
    <w:p>
      <w:pPr>
        <w:ind w:left="1080" w:right="1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has TFDE or X-DF engine propulsion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Bermuda is the flag state of each ship with the exception of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which has a Hellenic flag;</w:t>
      </w:r>
    </w:p>
    <w:p>
      <w:pPr>
        <w:spacing w:after="0" w:line="238"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3"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delivery of the last of our two contracted newbuildings in 2021, our owned fleet will have an average age of 7.0 years, making it one of the youngest in the industry, compared to a current average age of 10 years for the global trading LNG carrier fleet including LNG carriers of all sizes as of December 31, 2020.</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In addition to our owned and bareboat fleet, we have a 25.0%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is a 145,000 cbm LNG carrier that was built in 2007. It is currently chartered to MSL under a 20-year time charter, which is subject to extension for up to 10 years at the charterer's option.</w:t>
      </w:r>
    </w:p>
    <w:p>
      <w:pPr>
        <w:spacing w:after="0" w:line="19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continually evaluate short-term and multi-year charter opportunities for our vessels, including the newbuildings for which we do not currently have charters fixed. Our discussions with potential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charterers are at various stages of advancement; however, we cannot provide assurance that we will conclude any particular charter or, if concluded, as to the charter rate that will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Through GasLog LNG Services, we provide technical ship management services for one LNG carrier owned by a third party in addition to management of the 32 LNG carriers currently operating in our owned and bareboat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by Samsung or Hyundai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GasLog</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Charter</w:t>
            </w:r>
          </w:p>
        </w:tc>
      </w:tr>
      <w:tr>
        <w:trPr>
          <w:trHeight w:val="161"/>
        </w:trPr>
        <w:tc>
          <w:tcPr>
            <w:tcW w:w="2880" w:type="dxa"/>
            <w:vAlign w:val="bottom"/>
            <w:gridSpan w:val="3"/>
          </w:tcPr>
          <w:p>
            <w:pPr>
              <w:ind w:left="20"/>
              <w:spacing w:after="0"/>
              <w:rPr>
                <w:sz w:val="20"/>
                <w:szCs w:val="20"/>
                <w:color w:val="auto"/>
              </w:rPr>
            </w:pPr>
            <w:r>
              <w:rPr>
                <w:rFonts w:ascii="Arial" w:cs="Arial" w:eastAsia="Arial" w:hAnsi="Arial"/>
                <w:sz w:val="13"/>
                <w:szCs w:val="13"/>
                <w:b w:val="1"/>
                <w:bCs w:val="1"/>
                <w:color w:val="auto"/>
              </w:rPr>
              <w:t>Vessel Name</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Year Built</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Capacity (cbm)</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Propulsion</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6"/>
              </w:rPr>
              <w:t>Ship Owner</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r>
      <w:tr>
        <w:trPr>
          <w:trHeight w:val="20"/>
        </w:trPr>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25.0%</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Egypt LNG</w:t>
            </w:r>
            <w:r>
              <w:rPr>
                <w:rFonts w:ascii="Arial" w:cs="Arial" w:eastAsia="Arial" w:hAnsi="Arial"/>
                <w:sz w:val="28"/>
                <w:szCs w:val="28"/>
                <w:color w:val="auto"/>
                <w:w w:val="94"/>
                <w:vertAlign w:val="superscript"/>
              </w:rPr>
              <w:t>(1)</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2027</w:t>
            </w:r>
          </w:p>
        </w:tc>
      </w:tr>
      <w:tr>
        <w:trPr>
          <w:trHeight w:val="108"/>
        </w:trPr>
        <w:tc>
          <w:tcPr>
            <w:tcW w:w="7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92" w:lineRule="exact"/>
        <w:rPr>
          <w:sz w:val="20"/>
          <w:szCs w:val="20"/>
          <w:color w:val="auto"/>
        </w:rPr>
      </w:pPr>
    </w:p>
    <w:p>
      <w:pPr>
        <w:ind w:left="1680" w:right="80" w:hanging="549"/>
        <w:spacing w:after="0" w:line="274" w:lineRule="auto"/>
        <w:tabs>
          <w:tab w:leader="none" w:pos="1680" w:val="left"/>
        </w:tabs>
        <w:numPr>
          <w:ilvl w:val="0"/>
          <w:numId w:val="50"/>
        </w:numPr>
        <w:rPr>
          <w:rFonts w:ascii="Arial" w:cs="Arial" w:eastAsia="Arial" w:hAnsi="Arial"/>
          <w:sz w:val="11"/>
          <w:szCs w:val="11"/>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Methane Nile Eagle</w:t>
      </w:r>
      <w:r>
        <w:rPr>
          <w:rFonts w:ascii="Arial" w:cs="Arial" w:eastAsia="Arial" w:hAnsi="Arial"/>
          <w:sz w:val="13"/>
          <w:szCs w:val="13"/>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6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which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owned and bareboat 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Market (defined as charter parties with initial duration of more than five years)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ships following an initial period during which the ships operated under maiden voyage time charters, the purpose of which was to facilitate completion by Shell of an operational discharge inspection of the ships. The time charters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2021.</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The initial term charter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to MSL began upon delivery of the ship and will terminate in 2024. MSL has options to extend the terms of the charter for an additional period of either three or five years beyond the initial charter expiration date. The initial term of the time charter for the </w:t>
      </w:r>
      <w:r>
        <w:rPr>
          <w:rFonts w:ascii="Arial" w:cs="Arial" w:eastAsia="Arial" w:hAnsi="Arial"/>
          <w:sz w:val="18"/>
          <w:szCs w:val="18"/>
          <w:i w:val="1"/>
          <w:iCs w:val="1"/>
          <w:color w:val="auto"/>
        </w:rPr>
        <w:t xml:space="preserve">Methane Julia Louise </w:t>
      </w:r>
      <w:r>
        <w:rPr>
          <w:rFonts w:ascii="Arial" w:cs="Arial" w:eastAsia="Arial" w:hAnsi="Arial"/>
          <w:sz w:val="18"/>
          <w:szCs w:val="18"/>
          <w:color w:val="auto"/>
        </w:rPr>
        <w:t>began upon delivery to GasLog and will terminate in 2026. MSL has the option to extend the long-term bareboat charter of the</w:t>
      </w:r>
      <w:r>
        <w:rPr>
          <w:rFonts w:ascii="Arial" w:cs="Arial" w:eastAsia="Arial" w:hAnsi="Arial"/>
          <w:sz w:val="18"/>
          <w:szCs w:val="18"/>
          <w:i w:val="1"/>
          <w:iCs w:val="1"/>
          <w:color w:val="auto"/>
        </w:rPr>
        <w:t xml:space="preserve"> Methane Julia Louise </w:t>
      </w:r>
      <w:r>
        <w:rPr>
          <w:rFonts w:ascii="Arial" w:cs="Arial" w:eastAsia="Arial" w:hAnsi="Arial"/>
          <w:sz w:val="18"/>
          <w:szCs w:val="18"/>
          <w:color w:val="auto"/>
        </w:rPr>
        <w:t>which is now owned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Lepta Shipping and leased back to GasLog, for an additional period of either three or five years beyond the initial charter expiration date.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began upon delivery of the ships and will terminate in 2026, 2026, 2023 and 2023, respectively.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MSL has options to extend the terms of the charters for up to five years and for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MSL has the option to extend the terms of the charters for up to 8 years.</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from the shipyard in January 2018 and delivered into her time charter with MSL in January 2019. The initial charter term for the ship will terminate in 2028. MSL has options to extend the terms of the charter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which is now owned by Hai Kuo Shipping and leased back to GasLog, for two consecutive periods of three years each, all at specified hire rates.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Our time charter to MSL for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Gladstone</w:t>
      </w:r>
      <w:r>
        <w:rPr>
          <w:rFonts w:ascii="Arial" w:cs="Arial" w:eastAsia="Arial" w:hAnsi="Arial"/>
          <w:sz w:val="18"/>
          <w:szCs w:val="18"/>
          <w:color w:val="auto"/>
        </w:rPr>
        <w:t xml:space="preserve"> began when the ships were delivered from the shipyard in March 2018 and March 2019, respectively. The initial charter terms for the ships will terminate in 2027 and 2029, respectively. MSL has options to extend terms of the charters for two consecutive periods of three years each, all at specified hire rates.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Our time charter to Total for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began when the ship was delivered from the shipyard in March 2018. The initial charter term will terminate in 2025. Total has the option to extend the term of the charter of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which is now owned by Sea 190 Leasing and leased back to GasLog, by a three-year period at the charterer's option at a specified hire rate.</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Our time charters to Centrica for the </w:t>
      </w:r>
      <w:r>
        <w:rPr>
          <w:rFonts w:ascii="Arial" w:cs="Arial" w:eastAsia="Arial" w:hAnsi="Arial"/>
          <w:sz w:val="18"/>
          <w:szCs w:val="18"/>
          <w:i w:val="1"/>
          <w:iCs w:val="1"/>
          <w:color w:val="auto"/>
        </w:rPr>
        <w:t>GasLog Windsor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began when the ships were delivered from the shipyard in 2020. The initial charter terms will terminate in 2027. Centrica has the option to extend the term of the charters by three consecutive periods of two years each at the charterer's option.</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Our time charter to Jera for the </w:t>
      </w:r>
      <w:r>
        <w:rPr>
          <w:rFonts w:ascii="Arial" w:cs="Arial" w:eastAsia="Arial" w:hAnsi="Arial"/>
          <w:sz w:val="18"/>
          <w:szCs w:val="18"/>
          <w:i w:val="1"/>
          <w:iCs w:val="1"/>
          <w:color w:val="auto"/>
        </w:rPr>
        <w:t>GasLog Wales</w:t>
      </w:r>
      <w:r>
        <w:rPr>
          <w:rFonts w:ascii="Arial" w:cs="Arial" w:eastAsia="Arial" w:hAnsi="Arial"/>
          <w:sz w:val="18"/>
          <w:szCs w:val="18"/>
          <w:color w:val="auto"/>
        </w:rPr>
        <w:t xml:space="preserve"> began upon delivery of the vessel in 2020. The initial charter terms will terminate in 2032. Jera has the option to extend the term of the charter by two consecutive periods of three years.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Our time charters to Cheniere for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began when the ships were delivered from the shipyard in 2020 and 2021 respectively and the initial charter terms will terminate in 2027 and 2028 respectively. The time charters for Hull Nos. 2311 and 2312 will begin upon delivery of the vessels from the shipyard in 2021 and the initial charter terms will terminate in 2028. Cheniere has the option to extend the term of each of the charters by three consecutive periods of three years, two years and two years, respectively.</w:t>
      </w:r>
    </w:p>
    <w:p>
      <w:pPr>
        <w:spacing w:after="0" w:line="16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Our time charter to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begins in May 2021. The initial charter term will terminate in 2029. Endesa has the option to extend the term of the charter by two six-year periods beyond the initial charter expiration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Our time charter to Sinolam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begins after the vessel's dry-docking and conversion to an FSU for an initial term of ten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Spot Market (defined as charter parties with initial duration of less than five years)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Our time charter to Trafigura for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began in August 2018 and the charter will terminate in December 2021. Trafigura has various options to extend the term of the time charter for between one and seven years at specified rates.</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 xml:space="preserve">Our time charters to Gunvor for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began in June 2019 and the charters will terminate in 2022. They have a variable rate of hire within an agreed range during the charter period.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Our time charter to JOVO for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began in July 2020 and will terminate in August 2022.</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Our time charter to CNTIC VPower for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began in October 2020 and the charter will terminate in 2023. CNTIC VPower has the option to extend the term of the charter by two consecutive periods of one year.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Our time charter to Glencore for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began in November 2020 and the charter will terminate between January and February 2022.</w:t>
      </w:r>
    </w:p>
    <w:p>
      <w:pPr>
        <w:spacing w:after="0" w:line="248"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 xml:space="preserve">The initial time charter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to Cheniere began when the ship was delivered in August 2019 and will terminate in May 2021. Our time charter to Cheniere for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began in December 2020 and the charter will terminate in 2023. Cheniere has the option to extend the term of the charter by two consecutive periods of one year.</w:t>
      </w:r>
    </w:p>
    <w:p>
      <w:pPr>
        <w:spacing w:after="0" w:line="194"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 xml:space="preserve">The rates and period for the fixtures of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 the 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Savannah, </w:t>
      </w:r>
      <w:r>
        <w:rPr>
          <w:rFonts w:ascii="Arial" w:cs="Arial" w:eastAsia="Arial" w:hAnsi="Arial"/>
          <w:sz w:val="18"/>
          <w:szCs w:val="18"/>
          <w:color w:val="auto"/>
        </w:rPr>
        <w:t>the</w:t>
      </w:r>
      <w:r>
        <w:rPr>
          <w:rFonts w:ascii="Arial" w:cs="Arial" w:eastAsia="Arial" w:hAnsi="Arial"/>
          <w:sz w:val="18"/>
          <w:szCs w:val="18"/>
          <w:i w:val="1"/>
          <w:iCs w:val="1"/>
          <w:color w:val="auto"/>
        </w:rPr>
        <w:t xml:space="preserve"> Methane Rita Andrea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vary from charter to charter, as is the nature of trading in the spot</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market under contracts of up to six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"Hire rate" refers to the basic payment from the customer for use of the ship. Under all of our time charters, the hire rate is payable to us monthly in advance in U.S. dollars. Depending on the time charter contract, there are five methods by which the daily hire rate for our owned ships is determined:</w:t>
      </w:r>
    </w:p>
    <w:p>
      <w:pPr>
        <w:spacing w:after="0" w:line="154" w:lineRule="exact"/>
        <w:rPr>
          <w:sz w:val="20"/>
          <w:szCs w:val="20"/>
          <w:color w:val="auto"/>
        </w:rPr>
      </w:pPr>
    </w:p>
    <w:p>
      <w:pPr>
        <w:ind w:left="1080" w:right="160" w:hanging="532"/>
        <w:spacing w:after="0" w:line="312"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may increase annually at a fixed percentage. Although the daily amount of the operating cost component is fixed (and potentially subject to a specified annual increase), it is intended to correspond to the costs of operating the ship and related expenses. In the event of a material increase or decrease in the actual costs we incur in operating the ship, a clause in the charter provides each party the right in certain circumstances to seek a review and potential adjustment of the operating cost component.</w:t>
      </w:r>
    </w:p>
    <w:p>
      <w:pPr>
        <w:spacing w:after="0" w:line="185"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 the second method, the hire rate includes only one component that is a fivxed daily amount that will either remain the same, increase or decrease by a specified amount during any option period as compared to the firm period.</w:t>
      </w:r>
    </w:p>
    <w:p>
      <w:pPr>
        <w:spacing w:after="0" w:line="19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Under the third method, the hire rate for an initial period of up to two years, at the charterer's option, will be set at the prevailing market rate for a comparable ship, subject to a cap and a floor. Following such initial period, the hire rate will be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fully pass-through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fourth method, the hire rate is based on a base hire rate adjustment mechanism for each voyage and is calculated by taking the average of the daily spot market headline rates of three broker reports. The three broker reports used for this calculation shall be drawn from the week which contains the date that is twenty (20) days prior to each loading date. The voyage is defined as being from drop last pilot at the discharge port until the drop last pilot at the next discharge port. For each voyage, the broker average daily rate, shall be subject to certain adjustments to determine the "Actual daily hire rate" of that voyage. The hire rate for each voyage is subject to maximum ceiling and minimum floor rates.</w:t>
      </w:r>
    </w:p>
    <w:p>
      <w:pPr>
        <w:spacing w:after="0" w:line="224"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the fifth method, the hire rate is based on a base hire rate adjustment mechanism for each voyage and is calculated by taking the average rates of the BLNG1 (Gladstone to Tokyo), BLNG2 (Sabine Pass to UK Continent RV) and BLNG3 (Sabine to Tokyo) routes as published by Baltic Exchange under Baltic Exchange Liquefied Natural Gas Index. If M is the month in which the vessel tenders the Notice of Readiness at a load port, averages of the previous month M-1 shall be used. The hire rate for each voyage is subject to maximum ceiling and minimum floor rates.</w:t>
      </w:r>
    </w:p>
    <w:p>
      <w:pPr>
        <w:spacing w:after="0" w:line="201"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The hire rates for each of our ships may be reduced if the ship does not perform to certain of its specifications or if we breach our obligations under the charter. We have had no instances of hire rate reductions since the first two of our owned ships commenced operations in 2010.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some other charters, there are other provisions in place to ensure the same. For the vessels operating in the short-term spot market we take advantage of any stub period to enable us to perform the required maintenance. Our ships are being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7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Our ships are considered to be on a scheduled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60" w:firstLine="351"/>
        <w:spacing w:after="0" w:line="317" w:lineRule="auto"/>
        <w:rPr>
          <w:sz w:val="20"/>
          <w:szCs w:val="20"/>
          <w:color w:val="auto"/>
        </w:rPr>
      </w:pPr>
      <w:r>
        <w:rPr>
          <w:rFonts w:ascii="Arial" w:cs="Arial" w:eastAsia="Arial" w:hAnsi="Arial"/>
          <w:sz w:val="15"/>
          <w:szCs w:val="15"/>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our charterers have the option to terminate a charter if the relevant ship is off-hire for any reason other than scheduled dry-dockings. The number of off-hire days which trigger this option varies dependent on the terms of the individual charter parties.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firstLine="351"/>
        <w:spacing w:after="0" w:line="331" w:lineRule="auto"/>
        <w:rPr>
          <w:sz w:val="20"/>
          <w:szCs w:val="20"/>
          <w:color w:val="auto"/>
        </w:rPr>
      </w:pPr>
      <w:r>
        <w:rPr>
          <w:rFonts w:ascii="Arial" w:cs="Arial" w:eastAsia="Arial" w:hAnsi="Arial"/>
          <w:sz w:val="16"/>
          <w:szCs w:val="16"/>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4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mirror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11 year charter with MSL.</w:t>
      </w:r>
    </w:p>
    <w:p>
      <w:pPr>
        <w:spacing w:after="0" w:line="20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On October 21, 2020, GasLog's subsidiary, GAS-twenty five Ltd., completed the sale and leaseback of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with Sea 190 Leasing. The vessel was sold to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On January 22, 2021, GasLog's subsidiary, GAS-twenty four Ltd., completed the sale and leaseback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 Hai Kuo Shipping. The vessel was sold to Hai Kuo Shipping. GasLog has leased back the vessel under a bareboat charter from Hai Kuo Shipping for a period of up to eight years. GasLog has the option to re-purchase the vessel on pre-agreed terms no earlier than the first Hire Payment Date and no later than the end of year 8 of the bareboat charter. The vessel remains on its charter with Shell.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Shipbuilding Contracts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 xml:space="preserve">As of December 31, 2020, our active shipbuilding contracts with Samsung in respect of three newbuildings have an aggregate contract price of approximately $560.3 million. As of December 31, 2020, the aggregate outstanding balance was $466.9 million (which includes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which was delivered on January 4, 2021), which will be paid upon the delivery of each vessel in 2021. All of our obligations under the shipbuilding contracts are payable in U.S. dollars.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remaining payment obligations under the shipbuilding contracts were as follows: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2"/>
              </w:rPr>
              <w:t>As of</w:t>
            </w:r>
          </w:p>
        </w:tc>
      </w:tr>
      <w:tr>
        <w:trPr>
          <w:trHeight w:val="193"/>
        </w:trPr>
        <w:tc>
          <w:tcPr>
            <w:tcW w:w="2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680" w:type="dxa"/>
            <w:vAlign w:val="bottom"/>
            <w:gridSpan w:val="4"/>
          </w:tcPr>
          <w:p>
            <w:pPr>
              <w:jc w:val="center"/>
              <w:ind w:right="220"/>
              <w:spacing w:after="0" w:line="193" w:lineRule="exact"/>
              <w:rPr>
                <w:sz w:val="20"/>
                <w:szCs w:val="20"/>
                <w:color w:val="auto"/>
              </w:rPr>
            </w:pPr>
            <w:r>
              <w:rPr>
                <w:rFonts w:ascii="Arial" w:cs="Arial" w:eastAsia="Arial" w:hAnsi="Arial"/>
                <w:sz w:val="13"/>
                <w:szCs w:val="13"/>
                <w:b w:val="1"/>
                <w:bCs w:val="1"/>
                <w:color w:val="auto"/>
                <w:w w:val="87"/>
              </w:rPr>
              <w:t>December 31, 2020</w:t>
            </w:r>
            <w:r>
              <w:rPr>
                <w:rFonts w:ascii="Arial" w:cs="Arial" w:eastAsia="Arial" w:hAnsi="Arial"/>
                <w:sz w:val="22"/>
                <w:szCs w:val="22"/>
                <w:b w:val="1"/>
                <w:bCs w:val="1"/>
                <w:color w:val="auto"/>
                <w:w w:val="87"/>
                <w:vertAlign w:val="superscript"/>
              </w:rPr>
              <w:t>(1)(2)</w:t>
            </w:r>
          </w:p>
        </w:tc>
      </w:tr>
      <w:tr>
        <w:trPr>
          <w:trHeight w:val="129"/>
        </w:trPr>
        <w:tc>
          <w:tcPr>
            <w:tcW w:w="2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6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0"/>
              </w:rPr>
              <w:t>(in thousands of</w:t>
            </w:r>
          </w:p>
        </w:tc>
        <w:tc>
          <w:tcPr>
            <w:tcW w:w="220" w:type="dxa"/>
            <w:vAlign w:val="bottom"/>
          </w:tcPr>
          <w:p>
            <w:pPr>
              <w:spacing w:after="0"/>
              <w:rPr>
                <w:sz w:val="11"/>
                <w:szCs w:val="11"/>
                <w:color w:val="auto"/>
              </w:rPr>
            </w:pPr>
          </w:p>
        </w:tc>
      </w:tr>
      <w:tr>
        <w:trPr>
          <w:trHeight w:val="161"/>
        </w:trPr>
        <w:tc>
          <w:tcPr>
            <w:tcW w:w="2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4"/>
              </w:rPr>
              <w:t>U.S. dollars)</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in less than one year</w:t>
            </w:r>
          </w:p>
        </w:tc>
        <w:tc>
          <w:tcPr>
            <w:tcW w:w="1020" w:type="dxa"/>
            <w:vAlign w:val="bottom"/>
            <w:gridSpan w:val="2"/>
            <w:shd w:val="clear" w:color="auto" w:fill="CCEEFF"/>
          </w:tcPr>
          <w:p>
            <w:pPr>
              <w:jc w:val="center"/>
              <w:ind w:left="387"/>
              <w:spacing w:after="0"/>
              <w:rPr>
                <w:sz w:val="20"/>
                <w:szCs w:val="20"/>
                <w:color w:val="auto"/>
              </w:rPr>
            </w:pPr>
            <w:r>
              <w:rPr>
                <w:rFonts w:ascii="Arial" w:cs="Arial" w:eastAsia="Arial" w:hAnsi="Arial"/>
                <w:sz w:val="18"/>
                <w:szCs w:val="18"/>
                <w:color w:val="auto"/>
                <w:w w:val="86"/>
              </w:rPr>
              <w:t>466,930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466,930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192" w:lineRule="exact"/>
        <w:rPr>
          <w:sz w:val="20"/>
          <w:szCs w:val="20"/>
          <w:color w:val="auto"/>
        </w:rPr>
      </w:pPr>
    </w:p>
    <w:p>
      <w:pPr>
        <w:ind w:left="2240" w:hanging="547"/>
        <w:spacing w:after="0"/>
        <w:tabs>
          <w:tab w:leader="none" w:pos="2240" w:val="left"/>
        </w:tabs>
        <w:numPr>
          <w:ilvl w:val="0"/>
          <w:numId w:val="53"/>
        </w:numPr>
        <w:rPr>
          <w:rFonts w:ascii="Arial" w:cs="Arial" w:eastAsia="Arial" w:hAnsi="Arial"/>
          <w:sz w:val="10"/>
          <w:szCs w:val="10"/>
          <w:color w:val="auto"/>
        </w:rPr>
      </w:pPr>
      <w:r>
        <w:rPr>
          <w:rFonts w:ascii="Arial" w:cs="Arial" w:eastAsia="Arial" w:hAnsi="Arial"/>
          <w:sz w:val="12"/>
          <w:szCs w:val="12"/>
          <w:color w:val="auto"/>
        </w:rPr>
        <w:t>As of December 31, 2020, $145.8 million is the remaining payment obligation under the shipbuilding contract of the GasLog Galveston delivered on January 4, 2021.</w:t>
      </w:r>
    </w:p>
    <w:p>
      <w:pPr>
        <w:spacing w:after="0" w:line="145" w:lineRule="exact"/>
        <w:rPr>
          <w:rFonts w:ascii="Arial" w:cs="Arial" w:eastAsia="Arial" w:hAnsi="Arial"/>
          <w:sz w:val="10"/>
          <w:szCs w:val="10"/>
          <w:color w:val="auto"/>
        </w:rPr>
      </w:pPr>
    </w:p>
    <w:p>
      <w:pPr>
        <w:ind w:left="2240" w:hanging="547"/>
        <w:spacing w:after="0"/>
        <w:tabs>
          <w:tab w:leader="none" w:pos="2240" w:val="left"/>
        </w:tabs>
        <w:numPr>
          <w:ilvl w:val="0"/>
          <w:numId w:val="53"/>
        </w:numPr>
        <w:rPr>
          <w:rFonts w:ascii="Arial" w:cs="Arial" w:eastAsia="Arial" w:hAnsi="Arial"/>
          <w:sz w:val="11"/>
          <w:szCs w:val="11"/>
          <w:color w:val="auto"/>
        </w:rPr>
      </w:pPr>
      <w:r>
        <w:rPr>
          <w:rFonts w:ascii="Arial" w:cs="Arial" w:eastAsia="Arial" w:hAnsi="Arial"/>
          <w:sz w:val="13"/>
          <w:szCs w:val="13"/>
          <w:color w:val="auto"/>
        </w:rPr>
        <w:t>Instalments of $9.4 million have already been paid in 2021 to date.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The shipbuilding contracts provide for the two newbuildings to be delivered and ready for immediate operation on various dates in 2021. The third newbuilding,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was delivered on January 4, 2021. The shipbuilding contracts require Samsung to pay us liquidated damages in the event of certain delays in the delivery of a ship unless such delays are attributable to a force majeure event and, in the event of a prolonged delay, we would have the right to cancel the contract and receive a refund of any installment payments previously made on the ship.</w:t>
      </w:r>
    </w:p>
    <w:p>
      <w:pPr>
        <w:spacing w:after="0" w:line="16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15 business days, Samsung would have the option of cancelling the applicable shipbuilding contract and retaining any installment payments previously funded by us under the contract.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Services and Construction Supervision</w:t>
      </w:r>
    </w:p>
    <w:p>
      <w:pPr>
        <w:spacing w:after="0" w:line="231"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 xml:space="preserve">Except for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which is managed by a subsidiary of Shell, management of our owned and bareboat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Arial" w:cs="Arial" w:eastAsia="Arial" w:hAnsi="Arial"/>
          <w:sz w:val="15"/>
          <w:szCs w:val="15"/>
          <w:i w:val="1"/>
          <w:iCs w:val="1"/>
          <w:color w:val="auto"/>
        </w:rPr>
        <w:t>Methane Nile Eagle</w:t>
      </w:r>
      <w:r>
        <w:rPr>
          <w:rFonts w:ascii="Arial" w:cs="Arial" w:eastAsia="Arial" w:hAnsi="Arial"/>
          <w:sz w:val="15"/>
          <w:szCs w:val="15"/>
          <w:color w:val="auto"/>
        </w:rPr>
        <w:t>, a ship in which we have a 25.0% ownership interest. During the year ended December 31, 2020, ship management services provided to external customers accounted for approximately 0.1% of our consolidated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Supervision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supervise and manage the construction of our newbuildings through GasLog LNG Services.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all of which were constructed at Samsung.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and Operational Management</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 xml:space="preserve">Pursuant to ship management agreements, through GasLog LNG Services we manage the day-to-day aspects of ship operations for our owned and bareboat fleet (with the exception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for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16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 xml:space="preserve">In the case of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crewing and other operational costs are fully passed-through to the ship owner, and the customer pays us a management fee per month for our technical management services. In connection with our ship management services provided to the </w:t>
      </w:r>
      <w:r>
        <w:rPr>
          <w:rFonts w:ascii="Arial" w:cs="Arial" w:eastAsia="Arial" w:hAnsi="Arial"/>
          <w:sz w:val="18"/>
          <w:szCs w:val="18"/>
          <w:i w:val="1"/>
          <w:iCs w:val="1"/>
          <w:color w:val="auto"/>
        </w:rPr>
        <w:t>Methane Nile Eagle</w:t>
      </w:r>
      <w:r>
        <w:rPr>
          <w:rFonts w:ascii="Arial" w:cs="Arial" w:eastAsia="Arial" w:hAnsi="Arial"/>
          <w:sz w:val="18"/>
          <w:szCs w:val="18"/>
          <w:color w:val="auto"/>
        </w:rPr>
        <w:t>, we have entered into a consultant service agreement pursuant to which we provide specialized services relating to the management of the LNG carrier. These services include the development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installation of a ship's ship management system, which includes installing onboard hardware and software systems and providing related training to the ship's personnel. The terms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Chelsea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Warsaw </w:t>
      </w:r>
      <w:r>
        <w:rPr>
          <w:rFonts w:ascii="Arial" w:cs="Arial" w:eastAsia="Arial" w:hAnsi="Arial"/>
          <w:sz w:val="16"/>
          <w:szCs w:val="16"/>
          <w:color w:val="auto"/>
        </w:rPr>
        <w:t>and through the GasLog Partners vessels, the</w:t>
      </w:r>
      <w:r>
        <w:rPr>
          <w:rFonts w:ascii="Arial" w:cs="Arial" w:eastAsia="Arial" w:hAnsi="Arial"/>
          <w:sz w:val="16"/>
          <w:szCs w:val="16"/>
          <w:i w:val="1"/>
          <w:iCs w:val="1"/>
          <w:color w:val="auto"/>
        </w:rPr>
        <w:t xml:space="preserve"> GasLog 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 we operate in the spot charter market that covers charters of less than five years.</w:t>
      </w:r>
    </w:p>
    <w:p>
      <w:pPr>
        <w:spacing w:after="0" w:line="172" w:lineRule="exact"/>
        <w:rPr>
          <w:sz w:val="20"/>
          <w:szCs w:val="20"/>
          <w:color w:val="auto"/>
        </w:rPr>
      </w:pPr>
    </w:p>
    <w:p>
      <w:pPr>
        <w:ind w:right="40" w:firstLine="341"/>
        <w:spacing w:after="0" w:line="314" w:lineRule="auto"/>
        <w:rPr>
          <w:sz w:val="20"/>
          <w:szCs w:val="20"/>
          <w:color w:val="auto"/>
        </w:rPr>
      </w:pPr>
      <w:r>
        <w:rPr>
          <w:rFonts w:ascii="Arial" w:cs="Arial" w:eastAsia="Arial" w:hAnsi="Arial"/>
          <w:sz w:val="15"/>
          <w:szCs w:val="15"/>
          <w:color w:val="auto"/>
        </w:rPr>
        <w:t>Although we believe that we are one of a small number of large independent owners who focus primarily on modern,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 A number of these newbuildings are uncommitted and may also compete in the spot/short-term charter market on delivery. We believe that our strategy of focusing primarily on charter contracts with initial terms of seven to ten years, as well as the scale of our technical ship management operations, differentiates us to some extent from other independent owners.</w:t>
      </w:r>
    </w:p>
    <w:p>
      <w:pPr>
        <w:spacing w:after="0" w:line="15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2020, we had 170 full-time employees and contractors based in our offices in Piraeus, Monaco, London, New Jersey, Singapore and the newbuildings site in South Korea. In addition to our shore-based employees and contractors, we had approximately 1,866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380" w:firstLine="351"/>
        <w:spacing w:after="0" w:line="331" w:lineRule="auto"/>
        <w:rPr>
          <w:sz w:val="20"/>
          <w:szCs w:val="20"/>
          <w:color w:val="auto"/>
        </w:rPr>
      </w:pPr>
      <w:r>
        <w:rPr>
          <w:rFonts w:ascii="Arial" w:cs="Arial" w:eastAsia="Arial" w:hAnsi="Arial"/>
          <w:sz w:val="16"/>
          <w:szCs w:val="16"/>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development opportunities. In addition, we provide intensive onboard training for our officers and crews to instill a culture focused on the highest operational and safety standards. As a result, we have historically enjoyed high retention rates. In 2020, our retention rate was 97% for senior seagoing officers, 94% for other seagoing officers and 97.17% for shore staff.</w:t>
      </w:r>
    </w:p>
    <w:p>
      <w:pPr>
        <w:spacing w:after="0" w:line="194" w:lineRule="exact"/>
        <w:rPr>
          <w:sz w:val="20"/>
          <w:szCs w:val="20"/>
          <w:color w:val="auto"/>
        </w:rPr>
      </w:pPr>
    </w:p>
    <w:p>
      <w:pPr>
        <w:ind w:right="20" w:firstLine="341"/>
        <w:spacing w:after="0" w:line="317" w:lineRule="auto"/>
        <w:rPr>
          <w:sz w:val="20"/>
          <w:szCs w:val="20"/>
          <w:color w:val="auto"/>
        </w:rPr>
      </w:pPr>
      <w:r>
        <w:rPr>
          <w:rFonts w:ascii="Arial" w:cs="Arial" w:eastAsia="Arial" w:hAnsi="Arial"/>
          <w:sz w:val="15"/>
          <w:szCs w:val="15"/>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and increased competition would be mitigated to some extent by adjustments to the GasLog salary and benefit structure and by certain provisions in some of our time charters, including automatic periodic adjustment and cost review provisions.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300" w:firstLine="351"/>
        <w:spacing w:after="0" w:line="253" w:lineRule="auto"/>
        <w:rPr>
          <w:sz w:val="20"/>
          <w:szCs w:val="20"/>
          <w:color w:val="auto"/>
        </w:rPr>
      </w:pPr>
      <w:r>
        <w:rPr>
          <w:rFonts w:ascii="Arial" w:cs="Arial" w:eastAsia="Arial" w:hAnsi="Arial"/>
          <w:sz w:val="18"/>
          <w:szCs w:val="18"/>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201" w:lineRule="exact"/>
        <w:rPr>
          <w:sz w:val="20"/>
          <w:szCs w:val="20"/>
          <w:color w:val="auto"/>
        </w:rPr>
      </w:pPr>
    </w:p>
    <w:p>
      <w:pPr>
        <w:jc w:val="both"/>
        <w:ind w:firstLine="348"/>
        <w:spacing w:after="0" w:line="323" w:lineRule="auto"/>
        <w:rPr>
          <w:sz w:val="20"/>
          <w:szCs w:val="20"/>
          <w:color w:val="auto"/>
        </w:rPr>
      </w:pPr>
      <w:r>
        <w:rPr>
          <w:rFonts w:ascii="Arial" w:cs="Arial" w:eastAsia="Arial" w:hAnsi="Arial"/>
          <w:sz w:val="15"/>
          <w:szCs w:val="15"/>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51"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w:t>
      </w:r>
    </w:p>
    <w:p>
      <w:pPr>
        <w:spacing w:after="0" w:line="20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Most insurance underwriters make it a condition for insurance coverage that a ship be certified as "in class" by a classification society that is a member of the International Association of Classification Societies. All but two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owned fleet and the bareboat vessels as of March 1, 2021:</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Dry-docking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61"/>
        </w:trPr>
        <w:tc>
          <w:tcPr>
            <w:tcW w:w="6660" w:type="dxa"/>
            <w:vAlign w:val="bottom"/>
            <w:gridSpan w:val="3"/>
          </w:tcPr>
          <w:p>
            <w:pPr>
              <w:spacing w:after="0"/>
              <w:rPr>
                <w:sz w:val="20"/>
                <w:szCs w:val="20"/>
                <w:color w:val="auto"/>
              </w:rPr>
            </w:pPr>
            <w:r>
              <w:rPr>
                <w:rFonts w:ascii="Arial" w:cs="Arial" w:eastAsia="Arial" w:hAnsi="Arial"/>
                <w:sz w:val="13"/>
                <w:szCs w:val="13"/>
                <w:b w:val="1"/>
                <w:bCs w:val="1"/>
                <w:color w:val="auto"/>
              </w:rPr>
              <w:t>Ship Name</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Special Survey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Singapore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Greece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1040" w:type="dxa"/>
            <w:vAlign w:val="bottom"/>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Houston</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Hong Kong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Genoa</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Skagen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Gladstone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Warsaw</w:t>
            </w:r>
          </w:p>
        </w:tc>
        <w:tc>
          <w:tcPr>
            <w:tcW w:w="1040" w:type="dxa"/>
            <w:vAlign w:val="bottom"/>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Saratoga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040" w:type="dxa"/>
            <w:vAlign w:val="bottom"/>
          </w:tcPr>
          <w:p>
            <w:pPr>
              <w:jc w:val="right"/>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Windsor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Westminster</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Wales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Georgetown</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Galveston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Methane Julia Louise</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Savannah</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GasLog Chelsea</w:t>
            </w: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Salem</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Hull No. 2311</w:t>
            </w:r>
          </w:p>
        </w:tc>
        <w:tc>
          <w:tcPr>
            <w:tcW w:w="1040" w:type="dxa"/>
            <w:vAlign w:val="bottom"/>
          </w:tcPr>
          <w:p>
            <w:pPr>
              <w:jc w:val="right"/>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2312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maintain hull and machinery insurance on all our owned and bareboat ships against marine and war risks in amounts that we believe to be prudent to cover such risks, as well as loss of hire insurance against loss of income as a result of a ship being off-hire or otherwise suffering a loss of operational time for events falling under our hull and machinery insurance. In addition, we maintain protection and indemnity insurance on all our owned and bareboat ships up to the maximum insurable limit available at any given time.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180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policy has a deductible of two days with a maximum of 12 days (which brings it in line with the loss of hire deductible of 14 days) for ship related perils and with a maximum of 5 days for shoreside perils. The hire rate is aligned with the loss of hire insurance daily sum insured and a daily rate per vessel of $40,000 for our wholly owned and bareboat vessels or the hire rate agreed as per the loss of hire insurance policy for the Partnership's vessels.</w:t>
      </w:r>
    </w:p>
    <w:p>
      <w:pPr>
        <w:spacing w:after="0" w:line="173"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we buy war loss of hire and kidnap and ransom insurance when our ships are ordered to sail through the Indian Ocean and Gulf of Aden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protection and indemnity insurance covering our owned and bareboat ships is provided by P&amp;I associations that are members of the International Group of Protection and Indemnity Clubs, or "International Group". The 13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4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insurance coverage for cyber related risks. The policy covers physical damage to any of our vessels up to $50.0 million per vessel with a fleet aggregate limit of $150 million for each of the GasLog and GasLog Partners fleets.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intensive onboard training for our officers and crews to instill a culture of the highest operational and safety standards. During 2020, GasLog's fleet experienced 1 recordable injury and 7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178" w:lineRule="exact"/>
        <w:rPr>
          <w:sz w:val="20"/>
          <w:szCs w:val="20"/>
          <w:color w:val="auto"/>
        </w:rPr>
      </w:pPr>
    </w:p>
    <w:p>
      <w:pPr>
        <w:ind w:right="420" w:firstLine="348"/>
        <w:spacing w:after="0" w:line="331" w:lineRule="auto"/>
        <w:rPr>
          <w:sz w:val="20"/>
          <w:szCs w:val="20"/>
          <w:color w:val="auto"/>
        </w:rPr>
      </w:pPr>
      <w:r>
        <w:rPr>
          <w:rFonts w:ascii="Arial" w:cs="Arial" w:eastAsia="Arial" w:hAnsi="Arial"/>
          <w:sz w:val="16"/>
          <w:szCs w:val="16"/>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2020,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20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on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MARPOL Convention establishes environmental standards relating to oil leakage or spilling, garbage management, sewage, air emissions, handling and disposal of noxious liquids and the handling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oil (potentially including undertaking necessary fuel tank modification) to comply with a global sulfur cap of 0.5 percent m/m or be fitted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8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74"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all up-to-date standards of existing international maritime labour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conventions and recommendations, as well as the fundamental principles to be found in other international labour conventions.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November 12, 2019, OPA currently limits the liability of responsible parties with respect to ships over 3,000 gross tons to the greater of $2,300 per gross ton or $19,943,400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3"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pacing w:after="0" w:line="16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U.S. Clean Water Act of 1972, (the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69" w:lineRule="exact"/>
        <w:rPr>
          <w:sz w:val="20"/>
          <w:szCs w:val="20"/>
          <w:color w:val="auto"/>
        </w:rPr>
      </w:pPr>
    </w:p>
    <w:p>
      <w:pPr>
        <w:ind w:right="180" w:firstLine="348"/>
        <w:spacing w:after="0" w:line="331" w:lineRule="auto"/>
        <w:rPr>
          <w:sz w:val="20"/>
          <w:szCs w:val="20"/>
          <w:color w:val="auto"/>
        </w:rPr>
      </w:pPr>
      <w:r>
        <w:rPr>
          <w:rFonts w:ascii="Arial" w:cs="Arial" w:eastAsia="Arial" w:hAnsi="Arial"/>
          <w:sz w:val="16"/>
          <w:szCs w:val="16"/>
          <w:color w:val="auto"/>
        </w:rPr>
        <w:t>The United States Environmental Protection Agency, (the "EPA"), has enacted rules requiring ballast water discharges and other discharges incidental to the normal operation of certain ships within United States waters to be authorized under the Ship General Permit for Discharges Incidental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Normal Operation of Ships, (the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U.S. Clean Air Act of 1970, as amended by the Clean Air Act Amendments of 1977 and 1990,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steam-powered ships.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CAA also requires states to adopt State Implementation Plans,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94" w:lineRule="exact"/>
        <w:rPr>
          <w:sz w:val="20"/>
          <w:szCs w:val="20"/>
          <w:color w:val="auto"/>
        </w:rPr>
      </w:pPr>
    </w:p>
    <w:p>
      <w:pPr>
        <w:ind w:right="360" w:firstLine="341"/>
        <w:spacing w:after="0" w:line="291"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("HNS Convention"), if it is entered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69"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Further the MEPC 75 of IMO adopted two other sets of amendments to the Marpol Annex VI related to Carbon intensity regulations. The Committee agreed on combining the technical and operational measures with entry into force dates on January 1, 2023. The Energy Efficiency Existing Ships Index (EEXI) will be implemented for existing ships as technical measure to reduce CO2 emissions. The Carbon Intensity Index (CII) will be implemented as an operational carbon intensity measure to benchmark and improve efficiency. Regulations and framework will be fully defined at the next MEPC meeting in June 2021 and will be reviewed by January 1, 2026.</w:t>
      </w:r>
    </w:p>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IMO has established a framework for reducing global greenhouse gas emissions from shipping by at least 40% by 2030 and pursuing efforts towards 70% by 2050, compared to 2008 with the goal of holding the increase in global average temperature to well below 2 degrees Celsius and pursuing efforts to limit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66"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We believe that LNG carriers, which have the inherent ability to burn natural gas to power the ship, and in particular LNG carriers like certain of our vessels that utilize fuel-efficient diesel electric and low pressure two-stroke propulsion, can be considered among the cleanest of large ships in terms of emissions and very adaptable to the usage of newly developed lower and/or zero emission fuels.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7"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GasLog is a holding company incorporated in Bermuda. As of March 1, 2021, it has 51 subsidiaries which are incorporated in the British Virgin Islands, Monaco, Bermuda, the Marshall Islands, the United States, Singapore, Cyprus, Greece, Panama and England and Wales. Of our subsidiaries, 32 either own vessels in our fleet or are parties to contracts to obtain newbuild vessels. Of our subsidiaries, 34 are wholly owned by us and 17 are 35.3% owned by us. A list of our subsidiaries is set forth in Exhibit 8.1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Company—B. Business Overview—Our Fleet". For further details regarding our credit facilities, refer to "Item 5. Operating and Financial Review and Prospects—B. Liquidity and Capital Resources—Credit Facilities".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occupy office space at 69 Akti Miaouli, Piraeus, GR 18537, Greece, which we lease through our subsidiary, GasLog LNG Services, from an entity controlled by Ceres Shipping; the lease agreement is disclosed and filed with the Greek authorities, and has been entered into at market rates. We also occupy office space at (i) 99 Kings Road, London SW3 4PA, United Kingdom, which we lease through our subsidiary, GasLog Services UK Ltd.; (ii) ~24-02B Asia Square Tower 2, Singapore, which we lease through our subsidiary, GasLog Asia PTE. Ltd.; and (iii) 89 Hudson Street, Suite 406, Hoboken, Hudson County, New Jersey 07030, USA which we lease through our subsidiary, GasLog Services U.S. Inc.</w:t>
      </w:r>
    </w:p>
    <w:p>
      <w:pPr>
        <w:spacing w:after="0" w:line="16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For more information about the contractual arrangements for our office space in Piraeus, see "Item 7. Major Shareholders and Related Party Transactions —B. Related Party Transactions".</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20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 xml:space="preserve">We are an international owner, operator and manager of LNG carriers. As of March 1, 2021, our wholly owned fleet consists of 17 LNG carriers, including 15 ships in operation and two LNG carriers on order at Samsung. GasLog is also the general and controlling partner in GasLog Partners, which owns 15 LNG carriers. In addition, GasLog has leased back under a bareboat charter i) for a period of up to 20 years one vessel sold to Lepta Shipping in February 2016; ii) for a period of up to 12 years one vessel sold to Sea 190 Leasing in October 2020; and iii) for a period of up to eight years one vessel sold to Hai Kuo Shipping in January 2021. We currently manage and operate 33 LNG carriers including 15 of our wholly owned vessels in operation, 14 ships contributed or sold to the Partnership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is managed by a subsidiary of Shell), the three bareboat vessels and one additional LNG carrier in which we have a 25.0% interest. We are also supervising the construction of our newbuildings. As of March 1, 2021, 17 of our owned and bareboat vessels (including seven of the 15 vessels owned by GasLog Partners) and two of our newbuild vessels currently operate or will operate under long-term time charters (defined as those with initial duration of more than five years), and 16 of our vessels (including eight vessels owned by GasLog Partners) are currently trading in the short-term spot market (defined as contracts with initial duration of less than five years). As of December 31, 2020, our contracts are expected to provide total contracted revenue of $3.5 billion during their initial terms, which expire between 2021 and 2032.</w:t>
      </w:r>
    </w:p>
    <w:p>
      <w:pPr>
        <w:spacing w:after="0" w:line="18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 xml:space="preserve">The additional LNG carrier in which we also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8"/>
          <w:szCs w:val="18"/>
          <w:i w:val="1"/>
          <w:iCs w:val="1"/>
          <w:color w:val="auto"/>
        </w:rPr>
        <w:t>Methane Nile Eagle.</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reviews the Group's operating results on a consolidated basis as one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referenced in "Item 3. Key Information—Risk Factors", oil prices, as measured by the spot price of Brent crude oil, experienced continued volatility during 2020, trading within a range of approximately $19 per barrel to $69 per barrel. During 2020, oil prices were pressured for much of the year by lower demand following the COVID-19 pandemic, particularly for transportation related oil products such as jet fuel. In response, members of the Organization of Petroleum Exporting Countries ("OPEC") reduced output of crude oil and a record number of oil drilling rigs were idled in the United States. After reaching a bottom point of $19 per barrel in March, oil prices have recovered by 168% and ended the year at approximately $52 per barrel as oil production cuts and a favorable economic outlook following the distribution of several COVID-19 vaccines around the world have worked to balance the market. In early 2021, spot oil prices have continued to recover. As of February 25, 2021 Brent crude oil was quoted at approximately $65 per barrel compared to $52 per barrel at December 31, 2020 and $56 per barrel at the same time last year.</w:t>
      </w:r>
    </w:p>
    <w:p>
      <w:pPr>
        <w:spacing w:after="0" w:line="17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Similarly, global natural gas prices were under sustained pressure for most of 2020. Natural gas prices in the import regions of Europe, as measured by the Title Transfer Facility ("TTF"), averaged $3.25 per million British Thermal Units ("MMBtu") in 2020 while in Asia, the Japan Korea Marker ("JKM") averaged $4.22 per MMBtu. Both hit multi-year lows during the year. Meanwhile, gas prices in the United States, as measured by the Henry Hub ("HH") benchmark, averaged $2.13 per MMBtu and also reached multi-year lows during the summer. Global gas prices were impacted by lower industrial demand following the COVID-19 pandemic, particularly during the second and third quarters, as well as increasing gas production in export markets such as the United States. In addition, a warmer than average 2019/20 winter in the Northern Hemisphere kept inventories in Europe and parts of Asia above their 5-year averages to start the year and the start-up of new LNG export capacity during 2020 and the ramp up of facilities which began production in 2019 added new supply to the market.</w:t>
      </w:r>
    </w:p>
    <w:p>
      <w:pPr>
        <w:spacing w:after="0" w:line="19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Beginning late in the third quarter, TTF and JKM rose strongly ahead of the winter season in the Northern Hemisphere and ended 2020 at their highest levels of the year, $6.87 per MMBtu and $14.30 per MMBtu, respectively. The rise in import prices in Northern Asia and Europe was driven by a colder than average start to the winter season, supply outages in LNG production facilities, particularly in Australia and Norway, and delays at the Panama Canal which diverted some shipments of LNG to Asia around the Cape of Good Hope, adding additional delivery time. The recovery in LNG prices continued into the start of 2021 where JKM reached over $30 per MMBtu in early January, setting a new all-time record.</w:t>
      </w:r>
    </w:p>
    <w:p>
      <w:pPr>
        <w:spacing w:after="0" w:line="16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International gas prices have moderated since the beginning of 2021 as procurement for the Northern Hemisphere winter wanes; however, import prices remain well above the levels observed during the same period in 2020. As of February 25, 2021, natural gas prices were quoted at approximately $5.67 per MMBtu for TTF compared to $2.88 per MMBtu at the same time last year and at approximately $5.80 per MMBtu for JKM compared to $2.90 per MMBtu at the same time last year. By contrast, the price recovery of spot Henry Hub in the U.S., has been less dramatic, quoted at $2.76 per MMBtu as of February 25, 2021 compared to $1.83 at the same time last year.</w:t>
      </w:r>
    </w:p>
    <w:p>
      <w:pPr>
        <w:spacing w:after="0" w:line="20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 rise in Asian and European gas prices referenced above have resulted in a differential currently wide enough to incentivize inter-basin trade and gas price futures imply that the inter-basin arbitrage opportunity may exist periodically in coming months and years, potentially leading to longer voyages for LNG cargoes and, all else equal, increasing the demand for spot LNG shipping.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According to Wood Mackenzie, global seaborne trade of LNG was 365 million tonnes ("mt") in 2020, an increase of 1% over 2019. During the year, new production capacity started in the United States at Cameron Trains 2 and 3,Freeport Train 3 and Corpus Christi Train 3 as well as Elba Island. Supply from existing liquefaction facilities in Russia also increased. Meanwhile, downtime and/or underperformance at existing facilities in Australia and Norway partially offset these gains. In addition, the COVID-19 pandemic, combined with low import prices in Europe and Asia, saw the cancellation of approximately 15 mt of supply during the second and third quarters of 2020, primarily out of the US and Egypt.</w:t>
      </w:r>
    </w:p>
    <w:p>
      <w:pPr>
        <w:spacing w:after="0" w:line="16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LNG supply is projected to rise 4% to approximately 385 mt in 2021, according to Wood Mackenzie. This expected growth is driven by the ramp-up of new supply commissioned in 2020 and new capacity scheduled to come on stream in 2021. In addition, current forward curves for natural gas and LNG as well as a rebound in global oil prices and global economic activity following the COVID-19 pandemic, indicate fewer cargo cancellations, particularly out of the US, in the shoulder months of the second and third quarters of 2021.</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2020, only one new LNG liquefaction project, Sempra Energy's Costa Azul LNG project in Mexico, capacity of approximately 3.25 mtpa reached Final Investment Decision ("FID"), the lowest amount of new capacity in 22 years. As of February 25, 2021, one project has reached FID in 2021, Qatar's North Field Expansion Project which was sanctioned on February 8, 2021. The project anticipates the construction of 4 new trains with a combined capacity of 33 mtpa.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According to Wood Mackenzie, LNG demand increased by 1%, to 354 mt in 2020 from 350 mt in 2019. China accounted for much of the growth, adding demand for approximately 7 mt in 2020, an increase of 11% over 2019. Indian demand grew by 3 mt or 13% in 2020 to approximately 25 mt while demand from Turkey was up 1.7 mt or 19%. Meanwhile demand from Japan, Northwest Europe and South Korea declined by 3 mt, 1mt and 1 mt, respectively, declines of 4%, 3% and 2% over 2019.During 2020, 37 mtpa of long-term (defined as greater than 5 years duration) off-take commitments have been agreed, according to Wood Mackenzie, a positive indicator for future LNG demand.</w:t>
      </w:r>
    </w:p>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Wood Mackenzie forecasts global LNG demand growth of over 88 mt between 2021 and 2026, a compound annual growth of approximately 4%. This growth is expected to be broad-based, with South East Asia (excluding India) accounting for approximately 65% and China, Latin America and India expected to account for 26%, 5% and 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the LNG shipping spot market, TFDE headline rates, as reported by Clarksons, averaged $59,000 per day in 2020, a 16% decrease year-on-year. Low gas prices during much of 2020 limited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arbitrage opportunity for transporting LNG between the Atlantic and Pacific basins, particularly in the first 9 months of the year. However, the market balance tightened in the fourth quarter of 2020, as evidenced by the sharp increase in TFDE headline rates to an annual peak of $145,000 per day in December, following a marked decrease in spot ship availability. According to Poten, 54 term charters between 12 months and seven years were reported in 2020, a decrease of 14% over 2019, of which 24 were for TFDE vessels and 13 were for Steam vessels. The term charter market for Steam vessels continues to be significantly less liquid than that for TFDEs.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Clarksons assesses headline spot rates for TFDE and Steam LNG carriers at $46,500 per day and $30,000 per day, respectively as of February 19, 2021. The COVID-19 pandemic continues to create uncertainty regarding near-term demand for LNG. In addition, spot rates may be prone to further periods of seasonality and volatility similar to those seen in recent years. Accordingly, there is no guarantee that LNG shipping spot rates will stay at or near current levels or return to the levels experienced in the fourth quarters of the last three years, which could harm our business, financial condition, results of operations and cash flows, including cash available for distributions to unitholders.</w:t>
      </w:r>
    </w:p>
    <w:p>
      <w:pPr>
        <w:spacing w:after="0" w:line="16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According to Poten, as of February 26, 2021, the global fleet of dedicated LNG carriers (&gt;100,000 cbm) consisted of 538 vessels with another 112 LNG carriers on order, of which 86 vessels (or 77%) have multi-year charters. Poten estimates that a total of 44 LNG carriers are due to be delivered in the remainder of 2021, with 13 of these in the remainder of the first half of the year. In 2020, 35 orders for LNG carriers were placed, as estimated by Poten. Newbuild ordering saw a decline relative to 2019 and 2018.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 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supply and demand for LNG shipping services and the number of vessels available in the short-term or spot LNG carrier charter market;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LNG carriers in our owned and managed fleets;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timely delivery of our ships under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existing customers and our ability to increase the number of our customers through the development of new working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supply-demand relationship for LNG shipping services, including the impact of greater competition in the LNG shipping market and the impact of the COVID-19 virus on demand for LNG and LNG shipping;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ability to employ the ships we own and the bareboat vessels, that currently do not have charters at economically attractive rates;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effective and efficient technical and operational management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maintain the recruitment and retention of appropriately qualified seafarers and shore staff;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right="2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hire rate earned by our owned ships, including any of our ships that may trade in the short-term or spot market if we are unable to secure new term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fees we receive for technical ship management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 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80"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table below provides additional information about our contracted charter revenues based on contracts in effect as of December 31, 2020 for (a) our wholly owned fleet, the 15 ships in the GasLog Partners' fleet, the bareboat vessels for which we have secured time charters and (b) our two newbuildings on order. Other than the assumptions reflected in the footnotes to the table, including our assumption that our newbuildings are delivered on schedule, the table does not reflect events, including charter party agreements signed or amended, occurring after December 31, 2020.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ships that are trading in the spot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below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such information or its achievability, and assume no responsibility for, and disclaim any association with, the information in the table.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 as of December 31, 2020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3"/>
                <w:szCs w:val="13"/>
                <w:b w:val="1"/>
                <w:bCs w:val="1"/>
                <w:color w:val="auto"/>
                <w:w w:val="94"/>
              </w:rPr>
              <w:t>For the Year Ending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2025 - 2032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2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4"/>
              </w:rPr>
              <w:t>(in millions</w:t>
            </w:r>
          </w:p>
        </w:tc>
        <w:tc>
          <w:tcPr>
            <w:tcW w:w="86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92"/>
              </w:rPr>
              <w:t>of U.S. dollars,</w:t>
            </w:r>
          </w:p>
        </w:tc>
        <w:tc>
          <w:tcPr>
            <w:tcW w:w="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1"/>
              </w:rPr>
              <w:t>except days</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w w:val="71"/>
              </w:rPr>
              <w:t>and</w:t>
            </w: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percentages)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36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   606.3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3,489.7</w:t>
            </w:r>
          </w:p>
        </w:tc>
      </w:tr>
      <w:tr>
        <w:trPr>
          <w:trHeight w:val="256"/>
        </w:trPr>
        <w:tc>
          <w:tcPr>
            <w:tcW w:w="36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8,232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7,036</w:t>
            </w:r>
          </w:p>
        </w:tc>
        <w:tc>
          <w:tcPr>
            <w:tcW w:w="160" w:type="dxa"/>
            <w:vAlign w:val="bottom"/>
          </w:tcPr>
          <w:p>
            <w:pPr>
              <w:spacing w:after="0"/>
              <w:rPr>
                <w:sz w:val="22"/>
                <w:szCs w:val="22"/>
                <w:color w:val="auto"/>
              </w:rPr>
            </w:pPr>
          </w:p>
        </w:tc>
        <w:tc>
          <w:tcPr>
            <w:tcW w:w="700" w:type="dxa"/>
            <w:vAlign w:val="bottom"/>
            <w:gridSpan w:val="2"/>
          </w:tcPr>
          <w:p>
            <w:pPr>
              <w:jc w:val="right"/>
              <w:ind w:right="84"/>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18,151</w:t>
            </w: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48,550</w:t>
            </w:r>
          </w:p>
        </w:tc>
      </w:tr>
      <w:tr>
        <w:trPr>
          <w:trHeight w:val="257"/>
        </w:trPr>
        <w:tc>
          <w:tcPr>
            <w:tcW w:w="36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12,176</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12,535</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w w:val="98"/>
              </w:rPr>
              <w:t>12,660</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100,590</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150,736</w:t>
            </w:r>
          </w:p>
        </w:tc>
      </w:tr>
      <w:tr>
        <w:trPr>
          <w:trHeight w:val="257"/>
        </w:trPr>
        <w:tc>
          <w:tcPr>
            <w:tcW w:w="36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4,543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22"/>
                <w:szCs w:val="22"/>
                <w:color w:val="auto"/>
              </w:rPr>
            </w:pPr>
          </w:p>
        </w:tc>
        <w:tc>
          <w:tcPr>
            <w:tcW w:w="700" w:type="dxa"/>
            <w:vAlign w:val="bottom"/>
            <w:gridSpan w:val="2"/>
          </w:tcPr>
          <w:p>
            <w:pPr>
              <w:jc w:val="right"/>
              <w:ind w:right="84"/>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82,439</w:t>
            </w: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102,186</w:t>
            </w:r>
          </w:p>
        </w:tc>
      </w:tr>
      <w:tr>
        <w:trPr>
          <w:trHeight w:val="208"/>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Percentage of total contracted days/total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 days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108"/>
        </w:trPr>
        <w:tc>
          <w:tcPr>
            <w:tcW w:w="200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20" w:hanging="549"/>
        <w:spacing w:after="0" w:line="243"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our wholly owned ships, the 15 ships owned by the Partnership, the bareboat vessels and three newbuildings on order for which we have secured time charters. Does not include charter revenues for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25.0%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12" w:lineRule="exact"/>
        <w:rPr>
          <w:rFonts w:ascii="Arial" w:cs="Arial" w:eastAsia="Arial" w:hAnsi="Arial"/>
          <w:sz w:val="11"/>
          <w:szCs w:val="11"/>
          <w:color w:val="auto"/>
        </w:rPr>
      </w:pPr>
    </w:p>
    <w:p>
      <w:pPr>
        <w:ind w:left="1680" w:right="60" w:hanging="549"/>
        <w:spacing w:after="0" w:line="274"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3"/>
          <w:szCs w:val="13"/>
          <w:color w:val="auto"/>
        </w:rPr>
        <w:t>Available days represent total calendar days after deducting 30 off-hire days when the ship undergoes scheduled dry-docking. The available days for the vessels operating in the spot/short-term market are included.</w:t>
      </w:r>
    </w:p>
    <w:p>
      <w:pPr>
        <w:spacing w:after="0" w:line="90" w:lineRule="exact"/>
        <w:rPr>
          <w:rFonts w:ascii="Arial" w:cs="Arial" w:eastAsia="Arial" w:hAnsi="Arial"/>
          <w:sz w:val="11"/>
          <w:szCs w:val="11"/>
          <w:color w:val="auto"/>
        </w:rPr>
      </w:pPr>
    </w:p>
    <w:p>
      <w:pPr>
        <w:ind w:left="1680" w:right="60" w:hanging="549"/>
        <w:spacing w:after="0" w:line="274" w:lineRule="auto"/>
        <w:tabs>
          <w:tab w:leader="none" w:pos="1680" w:val="left"/>
        </w:tabs>
        <w:numPr>
          <w:ilvl w:val="0"/>
          <w:numId w:val="57"/>
        </w:numPr>
        <w:rPr>
          <w:rFonts w:ascii="Arial" w:cs="Arial" w:eastAsia="Arial" w:hAnsi="Arial"/>
          <w:sz w:val="11"/>
          <w:szCs w:val="11"/>
          <w:color w:val="auto"/>
        </w:rPr>
      </w:pPr>
      <w:r>
        <w:rPr>
          <w:rFonts w:ascii="Arial" w:cs="Arial" w:eastAsia="Arial" w:hAnsi="Arial"/>
          <w:sz w:val="13"/>
          <w:szCs w:val="13"/>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6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the vessels participating in the Cool Pool (until July 2019, when GasLog exited the Cool Pool),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 the time charter. Bunkers consumption represents mainly bunkers consumed during vessels' unemployment and off-hire.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Certain of our charters contain provisions that significantly reduce our exposure to increases in operating costs, including review provisions and cost pass-through provisions. Ship operating expenses are recognized as expenses when incurred.</w:t>
      </w:r>
    </w:p>
    <w:p>
      <w:pPr>
        <w:spacing w:after="0" w:line="16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5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dry-docking unless we determine to dry-dock the ships at an earlier date. In the event a ship is dry-docked at an earlier date, the unamortized dry-docking component is written off immediately.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General and administrative expenses consist principally of personnel costs for administrative and support staff, board of directors fees, expense recognized in connection with share-based compensation, rent, utilities, travel expenses, legal expenses, information and computing equipment and services, other professional services and consultants, training for crew familiarization and other advisor costs. In addition, general and administrative expenses include restructuring costs comprising of termination benefits, accelerated amortization for stock plan and restructuring obligations, pursuant to management's decision to relocate more of its employees including several members of senior management to the Piraeus, Greece office and to close the Stamford, Connecticut office.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Vessels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40" w:firstLine="348"/>
        <w:spacing w:after="0" w:line="317" w:lineRule="auto"/>
        <w:rPr>
          <w:sz w:val="20"/>
          <w:szCs w:val="20"/>
          <w:color w:val="auto"/>
        </w:rPr>
      </w:pPr>
      <w:r>
        <w:rPr>
          <w:rFonts w:ascii="Arial" w:cs="Arial" w:eastAsia="Arial" w:hAnsi="Arial"/>
          <w:sz w:val="15"/>
          <w:szCs w:val="15"/>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For a description of our credit facilities, including our loan agreements and sale and leaseback agreements, see "Item 5. Operating and Financial Review and Prospects—B. Liquidity and Capital Resources—Credit Facilities".</w:t>
      </w:r>
    </w:p>
    <w:p>
      <w:pPr>
        <w:spacing w:after="0" w:line="15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(Loss)/gain on derivatives consist of the ineffective portion of changes in the fair value of the derivatives that meet hedge accounting criteria, net interest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Profit of Associates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The share of profit of associates consists of our share of profits from (a) our 25.0% ownership interest in Egypt LNG, a Bermuda exempted company whose principal asset is the LNG carrier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and (b) our 20.0% ownership in Gastrade, a Greek private limited company licensed to develop an independent natural gas system offshore Alexandroupolis in Northern Greece utilizing an FSRU along with other infrastructure.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2020</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3"/>
                <w:szCs w:val="13"/>
                <w:b w:val="1"/>
                <w:bCs w:val="1"/>
                <w:color w:val="auto"/>
                <w:w w:val="96"/>
              </w:rPr>
              <w:t>Change</w:t>
            </w:r>
          </w:p>
        </w:tc>
        <w:tc>
          <w:tcPr>
            <w:tcW w:w="160" w:type="dxa"/>
            <w:vAlign w:val="bottom"/>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668,637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674,089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5,452</w:t>
            </w:r>
          </w:p>
        </w:tc>
        <w:tc>
          <w:tcPr>
            <w:tcW w:w="1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(23,772)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(139,662)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(148,235)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(168,041)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(177,213)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(9,172)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vessels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(162,149)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133,522</w:t>
            </w:r>
          </w:p>
        </w:tc>
        <w:tc>
          <w:tcPr>
            <w:tcW w:w="160" w:type="dxa"/>
            <w:vAlign w:val="bottom"/>
            <w:shd w:val="clear" w:color="auto" w:fill="CCEEFF"/>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250,310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126,946</w:t>
            </w:r>
          </w:p>
        </w:tc>
        <w:tc>
          <w:tcPr>
            <w:tcW w:w="16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(190,481)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(165,281)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Financial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(29,217)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Share of profit of associates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(238,977)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(247,021)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(8,044)</w:t>
            </w:r>
          </w:p>
        </w:tc>
      </w:tr>
      <w:tr>
        <w:trPr>
          <w:trHeight w:val="209"/>
        </w:trPr>
        <w:tc>
          <w:tcPr>
            <w:tcW w:w="4880" w:type="dxa"/>
            <w:vAlign w:val="bottom"/>
          </w:tcPr>
          <w:p>
            <w:pPr>
              <w:spacing w:after="0"/>
              <w:rPr>
                <w:sz w:val="20"/>
                <w:szCs w:val="20"/>
                <w:color w:val="auto"/>
              </w:rPr>
            </w:pPr>
            <w:r>
              <w:rPr>
                <w:rFonts w:ascii="Arial" w:cs="Arial" w:eastAsia="Arial" w:hAnsi="Arial"/>
                <w:sz w:val="18"/>
                <w:szCs w:val="18"/>
                <w:b w:val="1"/>
                <w:bCs w:val="1"/>
                <w:color w:val="auto"/>
              </w:rPr>
              <w:t>(Loss)/profit for the year</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(115,613)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118,902</w:t>
            </w:r>
          </w:p>
        </w:tc>
        <w:tc>
          <w:tcPr>
            <w:tcW w:w="1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(14,952)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48,237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63,189</w:t>
            </w:r>
          </w:p>
        </w:tc>
        <w:tc>
          <w:tcPr>
            <w:tcW w:w="160" w:type="dxa"/>
            <w:vAlign w:val="bottom"/>
            <w:shd w:val="clear" w:color="auto" w:fill="CCEEFF"/>
          </w:tcPr>
          <w:p>
            <w:pPr>
              <w:spacing w:after="0"/>
              <w:rPr>
                <w:sz w:val="17"/>
                <w:szCs w:val="17"/>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b w:val="1"/>
                <w:bCs w:val="1"/>
                <w:color w:val="auto"/>
              </w:rPr>
              <w:t>Loss attributable to owners of the Group</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(100,661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(44,948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55,713</w:t>
            </w:r>
          </w:p>
        </w:tc>
        <w:tc>
          <w:tcPr>
            <w:tcW w:w="1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During the year ended December 31, 2019, we had an average of 27.2 ships operating in our owned and bareboat fleet (including ships owned by the Partnership), having 9,518 revenue operating days and an average of 27.2 ships operating under our technical management (including 27.0 of our owned and bareboat ships). During the year ended December 31, 2020, we had an average of 30.1 ships operating in our owned and bareboat fleet (including ships owned by the Partnership), having 10,031 revenue operating days and an average of 30.1 ships operating under our technical management (including 29.1 of our owned and bareboat ships).</w:t>
      </w:r>
    </w:p>
    <w:p>
      <w:pPr>
        <w:spacing w:after="0" w:line="20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0.8%, or $5.5 million, from $668.6 million during the year ended December 31, 2019 to $674.1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2020. The increase in revenues is mainly attributable to an increase of $76.8 million deriving from the full operation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Gladstone </w:t>
      </w:r>
      <w:r>
        <w:rPr>
          <w:rFonts w:ascii="Arial" w:cs="Arial" w:eastAsia="Arial" w:hAnsi="Arial"/>
          <w:sz w:val="16"/>
          <w:szCs w:val="16"/>
          <w:color w:val="auto"/>
        </w:rPr>
        <w:t>on March 15, 2019 and the</w:t>
      </w:r>
      <w:r>
        <w:rPr>
          <w:rFonts w:ascii="Arial" w:cs="Arial" w:eastAsia="Arial" w:hAnsi="Arial"/>
          <w:sz w:val="16"/>
          <w:szCs w:val="16"/>
          <w:i w:val="1"/>
          <w:iCs w:val="1"/>
          <w:color w:val="auto"/>
        </w:rPr>
        <w:t xml:space="preserve"> GasLog Warsaw </w:t>
      </w:r>
      <w:r>
        <w:rPr>
          <w:rFonts w:ascii="Arial" w:cs="Arial" w:eastAsia="Arial" w:hAnsi="Arial"/>
          <w:sz w:val="16"/>
          <w:szCs w:val="16"/>
          <w:color w:val="auto"/>
        </w:rPr>
        <w:t>on July 31, 2019 and the deliveries of the</w:t>
      </w:r>
      <w:r>
        <w:rPr>
          <w:rFonts w:ascii="Arial" w:cs="Arial" w:eastAsia="Arial" w:hAnsi="Arial"/>
          <w:sz w:val="16"/>
          <w:szCs w:val="16"/>
          <w:i w:val="1"/>
          <w:iCs w:val="1"/>
          <w:color w:val="auto"/>
        </w:rPr>
        <w:t xml:space="preserve"> GasLog Windsor</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Wales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Westminster </w:t>
      </w:r>
      <w:r>
        <w:rPr>
          <w:rFonts w:ascii="Arial" w:cs="Arial" w:eastAsia="Arial" w:hAnsi="Arial"/>
          <w:sz w:val="16"/>
          <w:szCs w:val="16"/>
          <w:color w:val="auto"/>
        </w:rPr>
        <w:t xml:space="preserve">and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on April 1, 2020, May 11, 2020, July 15, 2020 and November 16, 2020, respectively. These deliveries resulted in an increase in revenue operating days. This increase was partially offset by a decrease of $45.0 million from the Partnership's fleet, mainly attributable to the expirations of the initial multi-year time charters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Methane Shirley Elisabeth </w:t>
      </w:r>
      <w:r>
        <w:rPr>
          <w:rFonts w:ascii="Arial" w:cs="Arial" w:eastAsia="Arial" w:hAnsi="Arial"/>
          <w:sz w:val="18"/>
          <w:szCs w:val="18"/>
          <w:color w:val="auto"/>
        </w:rPr>
        <w:t>and the 18-month time charter of the</w:t>
      </w:r>
      <w:r>
        <w:rPr>
          <w:rFonts w:ascii="Arial" w:cs="Arial" w:eastAsia="Arial" w:hAnsi="Arial"/>
          <w:sz w:val="18"/>
          <w:szCs w:val="18"/>
          <w:i w:val="1"/>
          <w:iCs w:val="1"/>
          <w:color w:val="auto"/>
        </w:rPr>
        <w:t xml:space="preserve"> GasLog Sydney </w:t>
      </w:r>
      <w:r>
        <w:rPr>
          <w:rFonts w:ascii="Arial" w:cs="Arial" w:eastAsia="Arial" w:hAnsi="Arial"/>
          <w:sz w:val="18"/>
          <w:szCs w:val="18"/>
          <w:color w:val="auto"/>
        </w:rPr>
        <w:t>(which had higher rates compared to their current contracted rates) and also</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increased off-hire days for scheduled dry-dockings. There was also a decrease of $27.8 million, mainly attributable to the performance of our remaining vessels operating in the spot market. As a result, the average daily hire rate decreased from $70,167 for the year ended December 31, 2019 to $67,120 for the year ended December 31, 2020.</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Vessel Operating and Supervision Costs: </w:t>
      </w:r>
      <w:r>
        <w:rPr>
          <w:rFonts w:ascii="Arial" w:cs="Arial" w:eastAsia="Arial" w:hAnsi="Arial"/>
          <w:sz w:val="16"/>
          <w:szCs w:val="16"/>
          <w:color w:val="auto"/>
        </w:rPr>
        <w:t>Vessel operating and supervision costs increased by 6.1%, or $8.5 million, from $139.7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2019 to $148.2 million during the year ended December 31, 2020. The increase in vessel operating and supervision costs is primarily attributable to the increase in ownership days due to the deliveries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Georgetown </w:t>
      </w:r>
      <w:r>
        <w:rPr>
          <w:rFonts w:ascii="Arial" w:cs="Arial" w:eastAsia="Arial" w:hAnsi="Arial"/>
          <w:sz w:val="16"/>
          <w:szCs w:val="16"/>
          <w:color w:val="auto"/>
        </w:rPr>
        <w:t>on April 1, 2020, on May 11, 2020, on July 15, 2020 and November 16, 2020, respectively, partially offset by the decrease in daily operating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$14,595 per ownership day (as defined below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managed by Shell) for the year ended December 31, 2019 to $13,975 per ownership day (as defined below excluding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managed by Shell) for the year ended December 31, 2020. Ownership days represent total calendar days for our owned and bareboat fleet. Daily operating costs per vessel decreased mainly due to the decreased scheduled technical and maintenance costs as a result of management's operating cost initiatives during 2020 and decreased insurance costs, partially offset by the unfavorable movement of the Euro ("EUR")/U. S. Dollar ("USD") exchange rate in the year ended December 31, 2019 as compared to the year ended December 31, 2020.</w:t>
      </w:r>
    </w:p>
    <w:p>
      <w:pPr>
        <w:spacing w:after="0" w:line="173"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5.5%, or $9.2 million, from $168.0 million during the year ended December 31, 2019 to $177.2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2020. The increase in depreciation resulted mainly from the increase in the average number of vessels in our fleet in year ended December 31, 2020, compared to the prior year and the increase from the depreciation of the right-of-use assets, which were partially offset by the impairment charges recognized in the prior year and the year end December 31, 2020.</w:t>
      </w:r>
    </w:p>
    <w:p>
      <w:pPr>
        <w:spacing w:after="0" w:line="19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0.4%, or $0.2 million, from $47.4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2019 to $47.2 million during the year ended December 31, 2020, before adjusting for restructuring costs. General and administrative expenses include the effect of the restructuring costs of $4.7 million and $5.3 million for the year ended December 31, 2019 and 2020, respectively. Daily general and administrative expenses decreased from $4,770 per vessel ownership day for the year ended December 31, 2019 to $4,306 per vessel ownership day for the year ended December 31, 2020, which includes restructuring costs of $473 and $484 per vessel ownership day in 2019 and 2020, respectively. The decrease in absolute terms is mainly attributable to the reduced travel and accommodation expenses, mainly due to the COVID-19 related travel restrictions imposed during 2020 and reduced employee costs, which were partially offset by increased legal costs of $1.0 million associated with the Transaction incurred as of December 31, 2020, as well as $0.5 million legal costs and professional expenses associated with the Strategic Review at GasLog Partners level, the increased costs of directors and officers insurance, the increase in foreign exchange losses and the increased restructuring costs.</w:t>
      </w:r>
    </w:p>
    <w:p>
      <w:pPr>
        <w:spacing w:after="0" w:line="17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$162.1 million for the year ended December 31, 2019 and $28.6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2020. The impairment loss for the year ended December 31, 2019 was recognized with respect to the Partnership's Steam vessels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Rita 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and the Steam vessel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owned by GasLog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as a result of the impairment assessment performed by the Group for the entire fleet after concluding that events and circumstances triggered the existence of potential impairment of its vessels as of December 31, 2019. The impairment loss recorded for the year ended December 31, 2020 was recognized with respect to one Steam vessel owned by GasLog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and four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vessels owned by the Partnership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as a result of the COVID-19 pandemic which placed downward pressure on economic activity and energy demand, as well as significant uncertainty regarding future near-term LNG shipping demand and, therefore LNG shipping requirements.</w:t>
      </w:r>
    </w:p>
    <w:p>
      <w:pPr>
        <w:spacing w:after="0" w:line="194"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decreased by 13.2%, or $25.2 million, from $190.5 million during the year ended December 31, 2019 to $165.3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year ended December 31, 2020. The decrease in financial costs is mainly attributable to a net decrease of $27.7 million in interest expense on loans, bonds and cash flow hedges due primarily to a decrease in LIBOR rates during the year ended December 31, 2020 compared to the same period in 2019.</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Specifically, during the year ended December 31, 2020, we had an average of $3,428.2 million of outstanding indebtedness, with a weighted average interest rate of 3.7%, while during the year ended December 31, 2019, we had an average of $3,072.0 million of outstanding indebtedness, with a weighted average interest rate of 5.1%. These weighted average interest rates include interest expense on loans and cash flow hedges and interest expense on bonds and CCSs. In addition, there was a decrease of $5.5 million in other financial costs mainly due to the unrealized foreign exchange losses on cash and bond incurred in the previous year, a decrease of $0.6 million in finance lease charges and a decrease of $0.1 million in loss arising on bond repurchases at premium, partially offset by an increase of $8.7 million deriving mainly from the write-off of fees relating to the refinancings and the sale and leaseback transaction that took place during the year.</w:t>
      </w:r>
    </w:p>
    <w:p>
      <w:pPr>
        <w:spacing w:after="0" w:line="20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Loss on Derivatives: </w:t>
      </w:r>
      <w:r>
        <w:rPr>
          <w:rFonts w:ascii="Arial" w:cs="Arial" w:eastAsia="Arial" w:hAnsi="Arial"/>
          <w:sz w:val="16"/>
          <w:szCs w:val="16"/>
          <w:color w:val="auto"/>
        </w:rPr>
        <w:t>Loss on derivatives increased by $29.3 million, from a loss of $55.4 million for the year ended December 31, 2019 to a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$84.7 million for the year ended December 31, 2020. The increase is mainly attributable to a decrease of $24.0 million in realized gain from interest rate swaps held for trading, the increase of $10.0 million in loss from marked-to-market valuation of our derivative financial instruments carried at fair value through profit or loss, which reflected a loss of $54.0 million for the year ended December 31, 2019, as compared to a loss of $64.0 million for the year ended December 31, 2020, and an increase of $0.2 million in the ineffective portion of cash flow hedges, partially offset by a decrease of $4.3 million in realized loss on forward foreign exchange contracts held for trading and a decrease of $0.7 million in recycled loss of cash flow hedges reclassified to profit or loss.</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(Loss)/profit for the Year: </w:t>
      </w:r>
      <w:r>
        <w:rPr>
          <w:rFonts w:ascii="Arial" w:cs="Arial" w:eastAsia="Arial" w:hAnsi="Arial"/>
          <w:sz w:val="18"/>
          <w:szCs w:val="18"/>
          <w:color w:val="auto"/>
        </w:rPr>
        <w:t>Loss for the year decreased by $118.9 million, from a loss of $115.6 million for the year ended December 31, 2019 to a profit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$3.3 million for the year ended December 31, 2020 as a result of the aforementioned factors.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Loss Attributable to Owners of the Group: </w:t>
      </w:r>
      <w:r>
        <w:rPr>
          <w:rFonts w:ascii="Arial" w:cs="Arial" w:eastAsia="Arial" w:hAnsi="Arial"/>
          <w:sz w:val="18"/>
          <w:szCs w:val="18"/>
          <w:color w:val="auto"/>
        </w:rPr>
        <w:t>Loss Attributable to Owners of the Group decreased by $55.8 million, from a loss of $100.7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2019 to a loss of $44.9 million for the year ended December 31, 2020. The decrease in loss attributable to the owners of GasLog resulted mainly from the respective movements in loss mentioned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 Compared to Year Ended December 31, 2019</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618,344</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668,637</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(20,374)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(23,772)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(128,084)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(139,662)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(153,193)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(168,041)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Impairment loss on vessels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(162,149)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(162,149)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292,518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(169,154)</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Financial costs</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(166,627)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(190,481)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(23,854)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Loss on derivatives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(55,441)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(49,364)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(166,120)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(238,977)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(72,857)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year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(115,613)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(242,011)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(93,667)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47,683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(100,661)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(148,344)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During the year ended December 31, 2018, we had an average of 26.0 ships operating in our owned and bareboat fleet (including ships owned by the Partnership), having 9,030 revenue operating days and an average of 25.5 ships operating under our technical management (including 25.0 of our owned and bareboat ships). During the year ended December 31, 2019, we had an average of 27.2 ships operating in our owned and bareboat fleet (including ships owned by the Partnership), having 9,518 revenue operating days and an average of 27.2 ships operating under our technical management (including 27.0 of our owned and bareboat ships).</w:t>
      </w:r>
    </w:p>
    <w:p>
      <w:pPr>
        <w:spacing w:after="0" w:line="20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8.1%, or $50.3 million, from $618.3 million during the year ended December 31, 2018 to $668.6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2019. The increase in revenues is mainly attributable to an increase of $63.4 million deriving from the full operation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Houston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Gladstone </w:t>
      </w:r>
      <w:r>
        <w:rPr>
          <w:rFonts w:ascii="Arial" w:cs="Arial" w:eastAsia="Arial" w:hAnsi="Arial"/>
          <w:sz w:val="16"/>
          <w:szCs w:val="16"/>
          <w:color w:val="auto"/>
        </w:rPr>
        <w:t>which were delivered on January 8, 2018, March 20, 2018 and March 29, 2018, respectively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deliveries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These deliveries resulted in an increase in revenue operating days. In addition, there was an increase of $11.0 million from our vessels trading in the spot and short-term market including the impact of the unscheduled dry-dockings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an increase of $2.7 million from the remaining fleet. The above increases were partially offset by a decrease of $26.1 million from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and a decrease of $0.7 million due to increased off-hire days from the remaining vessels. The average daily hire rate increased from $68,392 for the year ended December 31, 2018 to $70,167 for the year ended December 31, 2019.</w:t>
      </w:r>
    </w:p>
    <w:p>
      <w:pPr>
        <w:spacing w:after="0" w:line="17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Net Pool Allocation: </w:t>
      </w:r>
      <w:r>
        <w:rPr>
          <w:rFonts w:ascii="Arial" w:cs="Arial" w:eastAsia="Arial" w:hAnsi="Arial"/>
          <w:sz w:val="18"/>
          <w:szCs w:val="18"/>
          <w:color w:val="auto"/>
        </w:rPr>
        <w:t>Net pool allocation decreased by $22.1 million, from a positive $17.8 million during the year ended December 31, 2018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$4.3 million during the year ended December 31, 2019. The decrease in net pool allocation was attributable to the movement in the adjustment of the net pool results generated by the GasLog vessels in accordance with the pool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distribution formula for the total fleet of the pool, as well as GasLog's vessels exiting the Cool Pool in June and July 2019. GasLog recognized gross revenues and gross voyage expenses and commissions of $45.3 million and $8.1 million, respectively, from the operation of its vessels in the Cool Pool during the year ended December 31, 2019 (December 31, 2018: $102.3 million and $10.2 million, respectively). GasLog's total net pool performance is presented below:</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102,253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45,253</w:t>
            </w:r>
          </w:p>
        </w:tc>
        <w:tc>
          <w:tcPr>
            <w:tcW w:w="160" w:type="dxa"/>
            <w:vAlign w:val="bottom"/>
          </w:tcPr>
          <w:p>
            <w:pPr>
              <w:spacing w:after="0"/>
              <w:rPr>
                <w:sz w:val="18"/>
                <w:szCs w:val="18"/>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4"/>
              </w:rPr>
              <w:t>Pool gross voyage expenses and commissions (included in Voyage expenses and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700" w:type="dxa"/>
            <w:vAlign w:val="bottom"/>
          </w:tcPr>
          <w:p>
            <w:pPr>
              <w:jc w:val="right"/>
              <w:spacing w:after="0"/>
              <w:rPr>
                <w:sz w:val="20"/>
                <w:szCs w:val="20"/>
                <w:color w:val="auto"/>
              </w:rPr>
            </w:pPr>
            <w:r>
              <w:rPr>
                <w:rFonts w:ascii="Arial" w:cs="Arial" w:eastAsia="Arial" w:hAnsi="Arial"/>
                <w:sz w:val="18"/>
                <w:szCs w:val="18"/>
                <w:color w:val="auto"/>
              </w:rPr>
              <w:t>17,818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(4,264)</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109,917</w:t>
            </w: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32,903</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increased by 16.7%, or $3.4 million, from $20.4 million during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2018 to $23.8 million during the year ended December 31, 2019. The increase in voyage expenses and commissions is mainly attributable to an increase of $3.4 million in bunkers and voyage expenses consumed during certain unchartered and off-hire periods for the vessels trading in the spot market.</w:t>
      </w:r>
    </w:p>
    <w:p>
      <w:pPr>
        <w:spacing w:after="0" w:line="142"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b w:val="1"/>
          <w:bCs w:val="1"/>
          <w:i w:val="1"/>
          <w:iCs w:val="1"/>
          <w:color w:val="auto"/>
        </w:rPr>
        <w:t xml:space="preserve">Vessel Operating and Supervision Costs: </w:t>
      </w:r>
      <w:r>
        <w:rPr>
          <w:rFonts w:ascii="Arial" w:cs="Arial" w:eastAsia="Arial" w:hAnsi="Arial"/>
          <w:sz w:val="15"/>
          <w:szCs w:val="15"/>
          <w:color w:val="auto"/>
        </w:rPr>
        <w:t>Vessel operating and supervision costs increased by 9.1%, or $11.6 million, from $128.1 million during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year ended December 31, 2018 to $139.7 million during the year ended December 31, 2019. The increase in vessel operating and supervision costs is primarily attributable to the increase in ownership days due to the deliveries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on March 15, 2019 and July 31, 2019, respectively and the full operation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which were delivered on January 8, 2018,</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March 20, 2018 and March 29, 2018, respectively, the increase in scheduled technical and maintenance costs related to engine maintenance and costs related to dry-dockings, including expenses associated with the preparation for compliance with the IMO 2020 regulations and the increase in insurance costs. The above increases were partially offset by the favorable movement of the EUR/USD exchange rate. Daily operating costs per vessel increased from $14,306 per ownership day (as defined below) for the year ended December 31, 2018 to $14,595 per ownership day (as defined below) for the year ended December 31, 2019. Ownership days represent total calendar days for our owned and bareboat fleet.</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increased by 9.7%, or $14.8 million, from $153.2 million during the year ended December 31, 2018 to $168.0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during the year ended December 31, 2019. The increase in depreciation resulted mainly from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 xml:space="preserve">GasLog Warsaw </w:t>
      </w:r>
      <w:r>
        <w:rPr>
          <w:rFonts w:ascii="Arial" w:cs="Arial" w:eastAsia="Arial" w:hAnsi="Arial"/>
          <w:sz w:val="16"/>
          <w:szCs w:val="16"/>
          <w:color w:val="auto"/>
        </w:rPr>
        <w:t>on July 31, 2019, the full operation in the year ending December 31, 2019 of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 xml:space="preserve">following their delivery on January 8, 2018, March 20, 2018 and March 29, 2018, respectively, and the increase from the depreciation of the right-of-use assets deriving from the implementation of IFRS 16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12.9%, or $5.4 million, from $42.0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to $47.4 million during the year ended December 31, 2019. The increase in general and administrative expenses is mainly attributable to restructuring costs of $4.7 million that occurred in the fourth quarter of 2019. Daily general and administrative expenses per vessel excluding the effect of the restructuring costs decreased from $4,507 per ownership day (as defined above) for the year ended December 31, 2018 to $4,297 per ownership day (as defined above) for the year ended December 31, 2019.</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nil for the year ended December 31, 2018 and $162.1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2019. The impairment loss was recognized with respect to the Partnership's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and the Steam vessel owned by GasLog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as a result of the impairment assessment performed by the Group for the entire fleet after concluding that events and circumstances triggered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existence of potential impairment of its vessels as of December 31, 2019.</w:t>
      </w:r>
    </w:p>
    <w:p>
      <w:pPr>
        <w:spacing w:after="0" w:line="169"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increased by 14.3%, or $23.9 million, from $166.6 million during the year ended December 31, 2018 to $190.5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year ended December 31, 2019. The increase in financial costs is attributable to an increase of $15.8 million in interest expense on loans, bonds and cash flow hedges, an increase of $4.4 million in other financial costs mainly due to the unrealized foreign exchange losses on cash and bond, an increase of $2.1 million in loss arising on bond repurchases at premium and an increase of $1.6 million deriving mainly from the write-off of fees relating to the old Partnership facility. During the year ended December 31, 2019, we had an average of $3,072.0 of outstanding indebtedness, with a weighted average interest rate of 5.1%, while during the year ended December 31, 2018, we had an average of $2,886.3 million of outstanding indebtedness, with a weighted average interest rate of 4.8%. These weighted average interest rates include interest expense on loans and cash flow hedges and interest expense on bonds and CCSs.</w:t>
      </w:r>
    </w:p>
    <w:p>
      <w:pPr>
        <w:spacing w:after="0" w:line="15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Loss on Derivatives: </w:t>
      </w:r>
      <w:r>
        <w:rPr>
          <w:rFonts w:ascii="Arial" w:cs="Arial" w:eastAsia="Arial" w:hAnsi="Arial"/>
          <w:sz w:val="18"/>
          <w:szCs w:val="18"/>
          <w:color w:val="auto"/>
        </w:rPr>
        <w:t>Loss on derivatives increased by $49.3 million, from a loss of $6.1 million for the year ended December 31, 2018 to a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$55.4 million for the year ended December 31, 2019. The increase is mainly attributable to an increase of $46.1 million in the loss from mark-to-market valuation of our derivative financial instruments carried at fair value through profit or loss, which reflected a loss of $7.9 million for the year ended December 31, 2018, as compared to a loss of $54.0 million for the year ended December 31, 2019, a decrease of $3.9 million in realized gain on forward foreign exchange contracts held for trading and an increase of $0.7 million in recycled loss of cash flow hedges reclassified to profit or loss, partially offset by an increase of $1.3 million in realized gain from interest rate swaps held for trading and a decrease of $0.1 million in the ineffective portion of cash flow hedges.</w:t>
      </w:r>
    </w:p>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Profit/(Loss) for the Year: </w:t>
      </w:r>
      <w:r>
        <w:rPr>
          <w:rFonts w:ascii="Arial" w:cs="Arial" w:eastAsia="Arial" w:hAnsi="Arial"/>
          <w:sz w:val="18"/>
          <w:szCs w:val="18"/>
          <w:color w:val="auto"/>
        </w:rPr>
        <w:t>Profit for the year decreased by $242.0 million, from a profit of $126.4 million for the year ended December 31, 2018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$115.6 million for the year ended December 31, 2019 as a result of the aforementioned factors.</w:t>
      </w:r>
    </w:p>
    <w:p>
      <w:pPr>
        <w:spacing w:after="0" w:line="186" w:lineRule="exact"/>
        <w:rPr>
          <w:sz w:val="20"/>
          <w:szCs w:val="20"/>
          <w:color w:val="auto"/>
        </w:rPr>
      </w:pPr>
    </w:p>
    <w:p>
      <w:pPr>
        <w:jc w:val="both"/>
        <w:ind w:right="8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Profit/(Loss) Attributable to Owners of the Group: </w:t>
      </w:r>
      <w:r>
        <w:rPr>
          <w:rFonts w:ascii="Arial" w:cs="Arial" w:eastAsia="Arial" w:hAnsi="Arial"/>
          <w:sz w:val="16"/>
          <w:szCs w:val="16"/>
          <w:color w:val="auto"/>
        </w:rPr>
        <w:t>Profit Attributable to Owners of the Group decreased by $148.4 million, from a profit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$47.7 million for the year ended December 31, 2018 to a loss of $100.7 million for the year ended December 31, 2019. The decrease in profit to loss attributable to the owners of GasLog resulted mainly from the respective movements in profit mentioned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the year ended December 31, 2020, we received 57.2% of our revenues from Shell, 27.7% of our revenues from major LNG producers, 15.0% of our revenues from various charterers in the spot/short-term market and 0.1% of our revenues from Egypt LNG. For the year ended December 31, 2019, we received 70.0% of our revenues from Shell, 15.7% of our revenues from various charterers in the spot/short-term market, 14.2% of our revenues from major LNG producers and 0.1% of our revenues from Egypt LNG.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While our owned and bareboat ships are mainly employed under multi-year, fixed-rate charter arrangements, seasonal trends do impact the revenues earned during the year by our vessels trading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31" w:lineRule="auto"/>
        <w:rPr>
          <w:sz w:val="20"/>
          <w:szCs w:val="20"/>
          <w:color w:val="auto"/>
        </w:rPr>
      </w:pPr>
      <w:r>
        <w:rPr>
          <w:rFonts w:ascii="Arial" w:cs="Arial" w:eastAsia="Arial" w:hAnsi="Arial"/>
          <w:sz w:val="16"/>
          <w:szCs w:val="16"/>
          <w:color w:val="auto"/>
        </w:rPr>
        <w:t>the spot and short-term market and under variable rate charters. In recent years, there has been a significant increase in the seasonality of LNG shipping spot rates with relative strength during the months of September through January and relative weakness during the months of March through May.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2020, GasLog has financed its capital requirements with contributions from its pre-IPO shareholders, proceeds from our IPO and the GasLog Partners' IPO, proceeds from the 2014, 2015, 2016, 2017 and 2018 follow-on common and preference equity offerings by GasLog and GasLog Partners, the 2017, 2019 and 2020 follow-on debt offerings and the private placements, operating cash flows and long-term financings including bank loans and bond offerings. 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vessels' maintenance and running expenses, as well as debt service obligations, and seek to maintain adequate cash reserves in order to address revenue shortfalls or budget overruns, if any.</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anticipate that our primary sources of funds will be available cash, cash from operations, borrowings under existing and new loan agreements and additional equity. We believe that these sources of funds will be sufficient to meet our liquidity needs, although there can be no assurance that we will be able to obtain future debt and equity financing on terms acceptable to us.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funding and treasury activities are intended to meet our operating and financing requirements while balancing investment returns in order to maintain appropriate liquidity. Cash and cash equivalents are held primarily in U.S. dollars.</w:t>
      </w:r>
    </w:p>
    <w:p>
      <w:pPr>
        <w:spacing w:after="0" w:line="186"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 xml:space="preserve">As of December 31, 2020, we had $367.3 million of cash and cash equivalents, of which $147.8 million was restricted cash, in relation to the amount drawn for the delivery of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until her delivery from the shipyard on January 4, 2021. In addition, an amount of $23.5 million was held as cash collateral with respect to our derivative instruments and is included in Other non-current assets and Prepayments and other current assets. This amount has been further reduced to $12.9 million as of March 1, 2021. The funds in the ship management client accounts were held on behalf of customers of GasLog LNG Services in order to cover obligations of third party vessels under management.</w:t>
      </w:r>
    </w:p>
    <w:p>
      <w:pPr>
        <w:spacing w:after="0" w:line="169"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 xml:space="preserve">As of December 31, 2020, we had an aggregate of $3.8 billion of indebtedness outstanding under our credit facilities and bond agreements, of which $245.6 million was repayable within one year, and $196.2 million of lease liabilities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of which $9.6 million was payable within one year.</w:t>
      </w:r>
    </w:p>
    <w:p>
      <w:pPr>
        <w:spacing w:after="0" w:line="194"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have entered into three CCSs to exchange interest payments and principal on maturity on the same terms as the NOK 2024 Bonds and designated the CCSs as hedges of the variability of the USD functional currency equivalent cash flows on the NOK 2024 Bonds. Refer to Note 26 to our audited consolidated financial statements included elsewhere in this annual report for details on our derivative arrangements.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has hedged 47.6% of its expected floating interest rate exposure on its outstanding debt (excluding the lease liability) as of December 31, 2020.</w:t>
      </w:r>
    </w:p>
    <w:p>
      <w:pPr>
        <w:spacing w:after="0" w:line="248" w:lineRule="exact"/>
        <w:rPr>
          <w:sz w:val="20"/>
          <w:szCs w:val="20"/>
          <w:color w:val="auto"/>
        </w:rPr>
      </w:pPr>
    </w:p>
    <w:p>
      <w:pPr>
        <w:ind w:right="240" w:firstLine="348"/>
        <w:spacing w:after="0" w:line="331" w:lineRule="auto"/>
        <w:rPr>
          <w:sz w:val="20"/>
          <w:szCs w:val="20"/>
          <w:color w:val="auto"/>
        </w:rPr>
      </w:pPr>
      <w:r>
        <w:rPr>
          <w:rFonts w:ascii="Arial" w:cs="Arial" w:eastAsia="Arial" w:hAnsi="Arial"/>
          <w:sz w:val="16"/>
          <w:szCs w:val="16"/>
          <w:color w:val="auto"/>
        </w:rPr>
        <w:t xml:space="preserve">The total contract price for our two newbuildings on order as of December 31, 2020 is approximately $378.0 million, (excluding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which was delivered on January 4, 2021) of which $56.6 million was paid as of December 31, 2020. The balance is payable under each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shipbuilding contract in installments upon the attainment of certain specified milestones, with the largest portion of the purchase price for each ship coming due upon its delivery. We are scheduled to take delivery of the remaining newbuildings on various dates in 2021. As of December 31, 2020, the total remaining balance of the contract prices for the two newbuildings was $321.1 million (excluding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which was delivered on January 4, 2021), all of which is due within 12 months which will be funded under the existing 7xNB Facility signed December 12, 2019, available cash and cash from operations.</w:t>
      </w:r>
    </w:p>
    <w:p>
      <w:pPr>
        <w:spacing w:after="0" w:line="166"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agreed to act as sales agents. On November 3, 2017, the Partnership entered into the Amended and Restated Equity Distribution Agreement to increase the size of the ATM Programme to $144.0 million and to include UBS</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Securities LLC as a sales agent. On February 26, 2019, the Partnership entered into a Third Amended and Restated Equity Distribution Agreement to further increase the size of the ATM Programme from $144.0 million to $250.0 million.</w:t>
      </w:r>
    </w:p>
    <w:p>
      <w:pPr>
        <w:spacing w:after="0" w:line="19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issuances of common units were made under the ATM Programme in 2020. From establishment of the ATM Programme through December 31, 2020, GasLog Partners issued and received payment for 5,291,304 common units at a weighted average price of $23.33 per common unit for total gross proceeds of $123.4 million and total net proceeds of $121.2 million. In connection with the issuance of common units under the ATM Programme during this period, the Partnership also issued 107,987 general partner units to its general partner in order for GasLog to retain its 2.0% general partner interest. The net proceeds from the issuance of the general partner units were $2.5 million.</w:t>
      </w:r>
    </w:p>
    <w:p>
      <w:pPr>
        <w:spacing w:after="0" w:line="20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year ended December 31, 2019, GasLog Partners repurchased and cancelled 1,171,572 of the Partnership's common units at a weighted average price of $19.52 per common unit for a total amount of $22.9 million, including commissions. On February 5, 2020, the board of directors of GasLog Partners authorized a renewal of the unit repurchase programme taking the total authority outstanding under the programme to $25.0 million, to be utilized from February 10, 2020 to December 31, 2021. Since the authorization of the unit repurchase programme and through December 31, 2020, GasLog Partners has repurchased and cancelled a total of 1,363,062 of the Partnership's common units at a weighted average price of $17.50 per common unit for a total amount of $23.9 million, including commissions.</w:t>
      </w:r>
    </w:p>
    <w:p>
      <w:pPr>
        <w:spacing w:after="0" w:line="178"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 xml:space="preserve">On February 20, 2019, the Partnership entered into a credit agreement with Credit Suisse AG, Nordea Bank Abp, filial i Norge ("Nordea") and Iyo Bank, Ltd., Singapore Branch, each an original lender and Nordea acting as security agent and trustee for and on behalf of the other finance parties mentioned above, of up to $450.0 million (the "2019 Partnership Facility"), in order to refinance the existing indebtedness due in November 2019 on five of its vessels. Subsequently, on the same date, the Development Bank of Japan, Inc., entered the facility as lender via 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Interest on the 2019 Partnership Facility is payable at a rate of LIBOR plus a margin.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March 6, 2019, the Partnership drew down $360.0 million under the 2019 Partnership Facility, out of which $354.4 million was used to refinance the outstanding debt of GAS-three Ltd., GAS-four Ltd., GAS-five Ltd., GAS-sixteen Ltd. and GAS-seventeen Ltd., which would have been due in November 2019. On April 1, 2019, the Partnership drew down an additional $75.0 million under the 2019 Partnership Facility.</w:t>
      </w:r>
    </w:p>
    <w:p>
      <w:pPr>
        <w:spacing w:after="0" w:line="16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16, 2019, GasLog closed a follow-on issue of $75.0 million aggregate principal amount of the 8.875% Senior Notes priced at 102.5% of par with a yield to maturity of 7.89%. The gross proceeds from this offering were $76.9 million, including a $1.9 million premium, while the net proceeds, after deducting the underwriting discount and offering expenses, were $75.4 million.</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6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November 21, 2019, GasLog completed the issuance of NOK 900.0 million (equivalent to $98.6 million) of NOK 2024 Bonds in the Norwegian bond market. The NOK 2024 Bonds mature in November 2024 and have a coupon of 6.25% over the three-month Norwegian Interbank Offered Rate ("NIBOR"). The proceeds from the issuance were used in part to repurchase and cancel NOK 316.0 million (or $34.6 million) of the outstanding senior unsecured bonds due May 2021 (the "NOK 2021 Bonds") at a price of 104.75% of par value. The outstanding balance of the NOK 2021 Bonds, after the partial repurchase, amounted to NOK 434.0 million (equivalent to $49.2 million). On January 31, 2020, GasLog completed the repurchase of the outstanding balance of the NOK 2021 Bonds at a price of 104.0% of par value plus accrued interest, for a total consideration of NOK 451.4 million ($54.4 million). In addition, GasLog paid $10.5 million for the partial exchange of the outstanding 8.875% Senior Notes at a price of 104.75% of par value. The exchange was completed in January 13, 2020. On January 31, 2020, GasLog repurchased and cancelled NOK 434,000 of the NOK 2021 Bonds at a price of 104.0% of par value, resulting in a loss of $1.9 million.</w:t>
      </w:r>
    </w:p>
    <w:p>
      <w:pPr>
        <w:spacing w:after="0" w:line="17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On December 12, 2019, GAS-twenty eight Ltd., GAS-thirty Ltd., GAS-thirty one Ltd., GAS-thirty two Ltd., GAS-thirty three Ltd., GAS-thirty four Ltd. and GAS-thirty five Ltd. entered into a loan agreement with 13 international banks, with Citibank N.A. London Branch and DNB Bank ASA, London Branch acting as agents on behalf of the other finance parties. The financing is backed by the Export Import Bank of Korea ("KEXIM") and the Korea Trade Insurance Corporation ("K-Sure"), who are either directly lending or providing cover for over 60% of the facility. The agreement of up to $1,052.8 million partially finances the delivery of seven newbuilds scheduled to be delivered in 2020 and 2021. The loan bears interest plus a margin. On March 26, 2020, on May 7, 2020, on July 9, 2020, on November 12, 2020 and on December 29, 2020, GasLog drew $152.5 million, $149.4 million, $149.3 million, $147.8 million and $147.8 million, respectively under this facility to partially finance the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Georgetown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Galveston</w:t>
      </w:r>
      <w:r>
        <w:rPr>
          <w:rFonts w:ascii="Arial" w:cs="Arial" w:eastAsia="Arial" w:hAnsi="Arial"/>
          <w:sz w:val="16"/>
          <w:szCs w:val="16"/>
          <w:color w:val="auto"/>
        </w:rPr>
        <w:t>.</w:t>
      </w:r>
    </w:p>
    <w:p>
      <w:pPr>
        <w:spacing w:after="0" w:line="17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In December 2019, GasLog achieved improvements to the financial and non-financial covenants across the entirety of its bank debt, most notably decreasing minimum liquidity requirements from 3.0% of total indebtedness, or 4% if dividends are paid, to a flat amount of $75.0 million which will be applicable upon repayment of our U.S. dollar bonds maturing in March 2022, which have a minimum liquidity requirement of 2.5% of total indebtedness. The covenants are now aligned with the terms of the 7xNB Facility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concluded earlier in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February 13, 2020, on March 13, 2020 and on March 18, 2020, GasLog drew down $23.3 million, $50.7 million and $26.0 million, respectively, under the revolving credit facility of up to $1.1 billion entered into on July 19, 2016 (the "Legacy Facility Refinancing") and was subsequently refinanced as discussed below.</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29, 2020, GasLog completed the sale of 14,400,000 common shares at a price of $2.50 per share for total gross proceeds of $36.0 million through a Private Placement. The net proceeds were used for general corporate purposes. This transaction increased liquidity and further strengthened the capital structure of GasLog. Approximately 75% of shares issued in the Private Placement were purchased by GasLog's directors and affiliates, including 6,500,000 common shares purchased by Blenheim Holdings Ltd., wholly-owned by the Livanos family and 4,000,000 common shares purchased by a wholly-owned affiliate of the Onassis Foundation.</w:t>
      </w:r>
    </w:p>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instalments of $8.6 million beginning in January 2021, with a final balloon amount of $174.4 million payable concurrently with the last installment in July 2025. Interest on the facility will be payable at a rate of LIBOR plus a margin. An amount of $260.3 million was drawn on July 21, 2020, out of which $258.5 million was used to refinance the outstanding indebtedness of GAS-twenty Ltd., GAS-seven Ltd. and GAS-eight Ltd., the respective entities owning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The existing loan facilities of the specified vessels were terminated.</w:t>
      </w:r>
    </w:p>
    <w:p>
      <w:pPr>
        <w:spacing w:after="0" w:line="172"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In addition, 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instalments of $8.6 million beginning in January 2021, with a final balloon amount of $107.7 million payable concurrently with the last installment in July 2025. Interest on the facility will be payable at a rate of LIBOR plus a margin. An amount of $193.7 million was drawn down on July 21, 2020, out of which $174.9 million was used to refinance the outstanding indebtedness of GAS-nineteen Ltd., GAS-twenty one Ltd. and GAS-twenty</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seven Ltd., the respective entities owning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The existing loan facilities of the specified vessels were terminated.</w:t>
      </w:r>
    </w:p>
    <w:p>
      <w:pPr>
        <w:spacing w:after="0" w:line="19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Furthermore, on July 16, 2020 GAS-one Ltd., GAS-two Ltd., GAS-six Ltd., GAS-nine Ltd., GAS-ten Ltd., and GAS-eighteen Ltd. entered into a credit agreement of $576.9 million with ABN AMRO Bank N.V., Citigroup Global Markets Limited and Nordea, acting as global co-coordinators and bookrunners, and HSBC Bank plc acting as mandated lead arranger; Credit Agricole Corporate and Investment Bank acting as lead arranger and Unicredit Bank AG and National Bank of Australia Limited acting as arrangers, each of those being an original lender. The credit agreement was entered to refinance the existing indebtedness due in 2021 of six of the Group's vessels. ABN AMRO Bank N.V. was appointed by the other finance parties in this syndicate as security agent and trustee. The facility comprises of a $494.5 million Term Loan Facility which will amortize over 18 equal quarterly installments of $9.3 million beginning in April 2021 (following an initial repayment in January 2021 in the amount of $18.7 million), with a final balloon amount of $307.5 million payable concurrently with the last installment in June 2025 and a $82.4 million revolving loan facility which also matures in June 2025. Interest on the facility will be payable at a rate of LIBOR plus a margin. An amount of $576.9 million was drawn on July 21, 2020, out of which $557.0 million was used to refinance the outstanding indebtedness of GAS-one Ltd., GAS-two Ltd., GAS-six Ltd., GAS-nine Ltd., GAS-ten Ltd., and GAS-eighteen Ltd., the respective entities owning the </w:t>
      </w:r>
      <w:r>
        <w:rPr>
          <w:rFonts w:ascii="Arial" w:cs="Arial" w:eastAsia="Arial" w:hAnsi="Arial"/>
          <w:sz w:val="16"/>
          <w:szCs w:val="16"/>
          <w:i w:val="1"/>
          <w:iCs w:val="1"/>
          <w:color w:val="auto"/>
        </w:rPr>
        <w:t>GasLog Savannah</w:t>
      </w:r>
      <w:r>
        <w:rPr>
          <w:rFonts w:ascii="Arial" w:cs="Arial" w:eastAsia="Arial" w:hAnsi="Arial"/>
          <w:sz w:val="16"/>
          <w:szCs w:val="16"/>
          <w:color w:val="auto"/>
        </w:rPr>
        <w:t>,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i w:val="1"/>
          <w:iCs w:val="1"/>
          <w:color w:val="auto"/>
        </w:rPr>
        <w:t>GasLog Singapore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The balance of the proceeds will be used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and working capital purposes. The existing loan facilities of the specified vessels were terminated.</w:t>
      </w:r>
    </w:p>
    <w:p>
      <w:pPr>
        <w:spacing w:after="0" w:line="14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July 30, 2020, GasLog entered into a credit agreement of $96.8 million with National Bank of Greece S.A. ("NBG") for the refinancing of GAS-fifteen Ltd., the entity owning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NBG is acting as the sole original lender. An amount of $96.8 million was drawn on July 31, 2020, out of which $92.2 million was used to refinance the outstanding indebtedness of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balance of the proceeds will be used for general corporate and working capital purposes. The facility amortizes over 20 equal quarterly installments of $1.9 million beginning in October 2020, with a final balloon amount of $59.0 million payable concurrently with the last instalment in July 2025. The existing loan facility of the specified vessel was terminated.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Diversifying the list of hedging providers, GasLog has entered into novation agreements with Nordea and Standard Chartered Bank. Subsequently, two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swaps originally held with Nordea and due to mature in 2022, have now been transferred to Standard Chartered Bank. The aggregate notional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the trades is $166.6 million. Furthermore, as part of the closing of the Partnership's refinancing in July 2020, GasLog Partners entered into four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agreements with an aggregate notional amount of $133.3 million due in 2024 and 2025 with the facility lenders DNB Bank ASA, London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Branch and ING Bank N.V., London Branch, all secured under the GasLog Partners' $193.7 million facility agreement signed on July 16, 2020 in relation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GAS-nineteen Ltd., GAS-twenty Ltd. and GAS-twenty seven Ltd., the vessel owning entities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Becki Anne</w:t>
      </w:r>
      <w:r>
        <w:rPr>
          <w:rFonts w:ascii="Arial" w:cs="Arial" w:eastAsia="Arial" w:hAnsi="Arial"/>
          <w:sz w:val="16"/>
          <w:szCs w:val="16"/>
          <w:color w:val="auto"/>
        </w:rPr>
        <w:t>. At the same time, two DNB swaps with GasLog for the same notional amount and tenor were terminated. Finally, as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closing of the </w:t>
      </w:r>
      <w:r>
        <w:rPr>
          <w:rFonts w:ascii="Arial" w:cs="Arial" w:eastAsia="Arial" w:hAnsi="Arial"/>
          <w:sz w:val="16"/>
          <w:szCs w:val="16"/>
          <w:i w:val="1"/>
          <w:iCs w:val="1"/>
          <w:color w:val="auto"/>
        </w:rPr>
        <w:t>GasLog Chelsea's</w:t>
      </w:r>
      <w:r>
        <w:rPr>
          <w:rFonts w:ascii="Arial" w:cs="Arial" w:eastAsia="Arial" w:hAnsi="Arial"/>
          <w:sz w:val="16"/>
          <w:szCs w:val="16"/>
          <w:color w:val="auto"/>
        </w:rPr>
        <w:t xml:space="preserve"> refinancing in July 2020, GAS-fifteen Ltd., entered into a new interest rate swap agreement with a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$96.8 million due in 2025 with the facility lender NBG and secured by the NBG's $96.8 million facility agreement signed on July 30, 2020. Due to the 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undertaken above, combined with favorable movements in marked-to-market valuations and after interest payments made under the swap rollovers,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collateral with respect to our interest rate and cross-currency swap agreements decreased to $12.9 million as of March 1, 2021.</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On October 21, 2020, GasLog's subsidiary, GAS-twenty five Ltd., completed the sale and leaseback of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with Sea 190 Leasing. The vessel was sold to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On January 22, 2021, GasLog's subsidiary, GAS-twenty four Ltd., completed the sale and leaseback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 Hai Kuo Shipping. The vessel was sold to Hai Kuo Shipping. GasLog has leased back the vessel under a bareboat charter from Hai Kuo Shipping for a period of up to eight years. GasLog has the obligation to re-purchase the vessel at the end of the charter period. GasLog has also the option to re-purchase the vessel on pre-agreed terms no earlier than the first interest period and no later than the end of year 8 of the bareboat charter. The vessel remains on its charter with Shell.</w:t>
      </w:r>
    </w:p>
    <w:p>
      <w:pPr>
        <w:spacing w:after="0" w:line="16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Information—Common Shares Dividend Policy" for a discussion of risks related to our ability to pay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of December 31, 2020, our current assets totaled $437.5 million, while current liabilities totaled $459.4 million, resulting in a negative working capital position of $21.9 million. Current liabilities include $59.6 million of unearned revenue in relation to hires received in advance of December 31, 2020 (which represents a non-cash liability that will be recognized as revenue in January 2021 as the services are rendered).</w:t>
      </w:r>
    </w:p>
    <w:p>
      <w:pPr>
        <w:spacing w:after="0" w:line="16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the volatile commercial and financial market conditions experienced throughout 2020, we anticipate that our primary sources of funds for at least twelve months from the date of this report will be available cash, cash from operations and existing borrowings, including the credit agreements entered into on July 16, 2020 and July 30, 2020, which refinanced in full the debt maturities due in 2021, as well as the sale and leaseback transactions we concluded in October 2020 and January 2021 that released incremental liquidity of $61.2 million. We believe that these anticipated sources of funds will be sufficient to meet our liquidity needs and to comply with our banking covenants for at least twelve months from the date of this report and therefore it is appropriate to prepare the financial statements on a going concern basis. Additionally, we may enter into new debt facilities in the future, as well as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and sustainable improvement of the LNG market, that are beyond our control.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 Finally, our 8.875% Senior Notes will mature on March 22, 2022, which we plan to refinance in due course.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2020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317,423</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288,951</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(28,472)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(442,978)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(729,569)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(286,591)</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50,066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545,954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495,888</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Net cash provided by operating activities decreased by $28.4 million, from $317.4 million during the year ended December 31, 2019 to $289.0 million during the year ended December 31, 2020. The decrease is mainly attributable to a decrease of $27.9 million from movements of the working capital accounts (the $21.0 million decrease in movements of cash collateral relating to swaps partially offset by a decrease of $32.3 million in movements of balances with related parties, mainly due to the collection of balances due from the LNG carrier pooling arrangement operated by GasLog, and Golar LNG Ltd. (the "Cool Pool"), a decrease of $6.6 million from movements in trade and other receivables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a decrease of $4.4 million from movements in trade payables), a decrease of $24.0 million in realized gains on interest rate swaps held for trading and an increase of $8.6 million in vessel operating and supervision costs, which were partially offset by a decrease of $16.3 million in cash paid for interest, an increase of $5.5 million in revenues, a decrease of $4.3 million in realized losses from forwards, a decrease of $4.3 million in net pool allocation and a net increase of $1.7 million from the remaining movements.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Net cash used in investing activities increased by $286.6 million, from $443.0 million during the year ended December 31, 2019 to $729.6 million during the year ended December 31, 2020. The increase is mainly attributable to an increase of $260.9 million in net cash used in payments for the construction costs of newbuildings and other fixed assets, a net decrease of $16.0 million in cash from short-term investments in the year ended December 31, 2020, compared to the same period of 2019, an increase of $4.9 million in net cash used in payments for right-of-use assets and a decrease of $4.6 million in cash from interest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cash provided by financing activities increased by $495.9 million, from $50.1 million during the year ended December 31, 2019 to $546.0 million during the year ended December 31, 2020. The increase is mainly attributable to an increase of $1.2 billion in proceeds from loans and bonds, a decrease of $103.4 million in dividend payments, a decrease of $44.8 million in payments for NOK bond repurchases at a premium, an increase of $36.0 million in proceeds from the Private Placement, an increase of $31.6 million in proceeds from entering into interest rate swaps and a decrease of $23.7 million in cash used for purchases of treasury shares, partially offset by an increase of $934.0 million in loan and bond repayments, an increase of $32.0 million relating to the payment for the termination of interest rate and cross currency swaps, a net increase of $9.1 million in payments of loan issuance costs and an increase of $1.2 million in payments for lease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283,710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317,423</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33,713</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(692,999)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(442,978)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250,021</w:t>
            </w:r>
          </w:p>
        </w:tc>
        <w:tc>
          <w:tcPr>
            <w:tcW w:w="16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368,120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(318,054)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Net cash provided by operating activities increased by $33.7 million, from $283.7 million during the year ended December 31, 2018 to $317.4 million during the year ended December 31, 2019. The increase was attributable to an increase of $57.7 million caused by movements in working capital accounts due primarily to (a) increased cash from related parties of $56.3 million (mainly collection of Cool Pool receivables), (b) an increase of $20.3 million from movements in other payables and accruals, and (c) an increase of $4.6 million from movements in trade and other receivables, partially offset by an increase in cash collateral on swaps of $22.2 million, an increase of $28.2 million in total revenues (revenues and net pool allocation), partially offset by a decrease of $29.9 million in cash paid for interest including the interest paid for finance leases and a net decrease of $22.3 million from the remaining movements.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Net cash used in investing activities decreased by $250.0 million, from $693.0 million during the year ended December 31, 2018 to $443.0 million during the year ended December 31, 2019. The decrease is attributable to a decrease of $203.7 million in net cash used in payments for the construction costs of newbuildings and other fixed assets, a net increase of $45.5 million in cash from short-term investments in the year ended December 31, 2019, compared to the same period of 2018 and an increase of $0.8 million in cash from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$318.0 million, from $368.1 million during the year ended December 31, 2018 to $50.1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decrease is mainly attributable to an increase of $316.0 million in bank loan repayments,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$208.4 million in proceeds from the GasLog Partners' issuance of preference units, a decrease of $60.4 million in proceeds from the GasLog Partners'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 offerings, an increase of $46.7 million in payments for NOK bond repurchase at a premium, an increase of $26.6 million in cash used for 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 shares or common units of GasLog Partners, an increase of $18.5 million in payments of loan issuance costs, an increase of $15.4 million in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common and preference shares, an increase of $3.7 million in payments for cross currency swaps' termination, an increase of $2.6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for lease liabilities, an increase of $0.8 million in payments for equity-related costs and a decrease of $0.5 million in proceeds from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partially offset by an increase of $381.6 million in proceeds from borrowings.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certain terms of the nine outstanding facilities as of December 31, 2020:</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620" w:val="left"/>
        </w:tabs>
        <w:rPr>
          <w:sz w:val="20"/>
          <w:szCs w:val="20"/>
          <w:color w:val="auto"/>
        </w:rPr>
      </w:pPr>
      <w:r>
        <w:rPr>
          <w:rFonts w:ascii="Arial" w:cs="Arial" w:eastAsia="Arial" w:hAnsi="Arial"/>
          <w:sz w:val="13"/>
          <w:szCs w:val="13"/>
          <w:b w:val="1"/>
          <w:bCs w:val="1"/>
          <w:color w:val="auto"/>
        </w:rPr>
        <w:t>Facility Name</w:t>
      </w:r>
      <w:r>
        <w:rPr>
          <w:sz w:val="20"/>
          <w:szCs w:val="20"/>
          <w:color w:val="auto"/>
        </w:rPr>
        <w:tab/>
      </w:r>
      <w:r>
        <w:rPr>
          <w:rFonts w:ascii="Arial" w:cs="Arial" w:eastAsia="Arial" w:hAnsi="Arial"/>
          <w:sz w:val="12"/>
          <w:szCs w:val="12"/>
          <w:b w:val="1"/>
          <w:bCs w:val="1"/>
          <w:color w:val="auto"/>
        </w:rPr>
        <w:t>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4"/>
              </w:rPr>
              <w:t>Payment of</w:t>
            </w:r>
          </w:p>
        </w:tc>
      </w:tr>
      <w:tr>
        <w:trPr>
          <w:trHeight w:val="149"/>
        </w:trPr>
        <w:tc>
          <w:tcPr>
            <w:tcW w:w="1300" w:type="dxa"/>
            <w:vAlign w:val="bottom"/>
          </w:tcPr>
          <w:p>
            <w:pPr>
              <w:spacing w:after="0"/>
              <w:rPr>
                <w:sz w:val="12"/>
                <w:szCs w:val="12"/>
                <w:color w:val="auto"/>
              </w:rPr>
            </w:pPr>
          </w:p>
        </w:tc>
        <w:tc>
          <w:tcPr>
            <w:tcW w:w="12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Outstanding</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3"/>
              </w:rPr>
              <w:t>Principals</w:t>
            </w:r>
          </w:p>
        </w:tc>
      </w:tr>
      <w:tr>
        <w:trPr>
          <w:trHeight w:val="148"/>
        </w:trPr>
        <w:tc>
          <w:tcPr>
            <w:tcW w:w="1300" w:type="dxa"/>
            <w:vAlign w:val="bottom"/>
          </w:tcPr>
          <w:p>
            <w:pPr>
              <w:spacing w:after="0"/>
              <w:rPr>
                <w:sz w:val="20"/>
                <w:szCs w:val="20"/>
                <w:color w:val="auto"/>
              </w:rPr>
            </w:pPr>
            <w:r>
              <w:rPr>
                <w:rFonts w:ascii="Arial" w:cs="Arial" w:eastAsia="Arial" w:hAnsi="Arial"/>
                <w:sz w:val="13"/>
                <w:szCs w:val="13"/>
                <w:b w:val="1"/>
                <w:bCs w:val="1"/>
                <w:color w:val="auto"/>
              </w:rPr>
              <w:t>Subsidiary Party</w:t>
            </w:r>
          </w:p>
        </w:tc>
        <w:tc>
          <w:tcPr>
            <w:tcW w:w="1220" w:type="dxa"/>
            <w:vAlign w:val="bottom"/>
          </w:tcPr>
          <w:p>
            <w:pPr>
              <w:jc w:val="center"/>
              <w:ind w:left="73"/>
              <w:spacing w:after="0"/>
              <w:rPr>
                <w:sz w:val="20"/>
                <w:szCs w:val="20"/>
                <w:color w:val="auto"/>
              </w:rPr>
            </w:pPr>
            <w:r>
              <w:rPr>
                <w:rFonts w:ascii="Arial" w:cs="Arial" w:eastAsia="Arial" w:hAnsi="Arial"/>
                <w:sz w:val="13"/>
                <w:szCs w:val="13"/>
                <w:b w:val="1"/>
                <w:bCs w:val="1"/>
                <w:color w:val="auto"/>
                <w:w w:val="94"/>
              </w:rPr>
              <w:t>Principal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7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Interest</w:t>
            </w:r>
          </w:p>
        </w:tc>
        <w:tc>
          <w:tcPr>
            <w:tcW w:w="8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1300" w:type="dxa"/>
            <w:vAlign w:val="bottom"/>
          </w:tcPr>
          <w:p>
            <w:pPr>
              <w:ind w:left="20"/>
              <w:spacing w:after="0"/>
              <w:rPr>
                <w:sz w:val="20"/>
                <w:szCs w:val="20"/>
                <w:color w:val="auto"/>
              </w:rPr>
            </w:pPr>
            <w:r>
              <w:rPr>
                <w:rFonts w:ascii="Arial" w:cs="Arial" w:eastAsia="Arial" w:hAnsi="Arial"/>
                <w:sz w:val="13"/>
                <w:szCs w:val="13"/>
                <w:b w:val="1"/>
                <w:bCs w:val="1"/>
                <w:color w:val="auto"/>
              </w:rPr>
              <w:t>(Collateral Ship)</w:t>
            </w:r>
          </w:p>
        </w:tc>
        <w:tc>
          <w:tcPr>
            <w:tcW w:w="1220" w:type="dxa"/>
            <w:vAlign w:val="bottom"/>
          </w:tcPr>
          <w:p>
            <w:pPr>
              <w:jc w:val="center"/>
              <w:ind w:left="73"/>
              <w:spacing w:after="0"/>
              <w:rPr>
                <w:sz w:val="20"/>
                <w:szCs w:val="20"/>
                <w:color w:val="auto"/>
              </w:rPr>
            </w:pPr>
            <w:r>
              <w:rPr>
                <w:rFonts w:ascii="Arial" w:cs="Arial" w:eastAsia="Arial" w:hAnsi="Arial"/>
                <w:sz w:val="13"/>
                <w:szCs w:val="13"/>
                <w:b w:val="1"/>
                <w:bCs w:val="1"/>
                <w:color w:val="auto"/>
                <w:w w:val="97"/>
              </w:rPr>
              <w:t>Amount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tcPr>
          <w:p>
            <w:pPr>
              <w:jc w:val="center"/>
              <w:ind w:left="13"/>
              <w:spacing w:after="0"/>
              <w:rPr>
                <w:sz w:val="20"/>
                <w:szCs w:val="20"/>
                <w:color w:val="auto"/>
              </w:rPr>
            </w:pPr>
            <w:r>
              <w:rPr>
                <w:rFonts w:ascii="Arial" w:cs="Arial" w:eastAsia="Arial" w:hAnsi="Arial"/>
                <w:sz w:val="13"/>
                <w:szCs w:val="13"/>
                <w:b w:val="1"/>
                <w:bCs w:val="1"/>
                <w:color w:val="auto"/>
                <w:w w:val="92"/>
              </w:rPr>
              <w:t>Rate</w:t>
            </w:r>
          </w:p>
        </w:tc>
        <w:tc>
          <w:tcPr>
            <w:tcW w:w="880" w:type="dxa"/>
            <w:vAlign w:val="bottom"/>
          </w:tcPr>
          <w:p>
            <w:pPr>
              <w:ind w:left="120"/>
              <w:spacing w:after="0"/>
              <w:rPr>
                <w:sz w:val="20"/>
                <w:szCs w:val="20"/>
                <w:color w:val="auto"/>
              </w:rPr>
            </w:pPr>
            <w:r>
              <w:rPr>
                <w:rFonts w:ascii="Arial" w:cs="Arial" w:eastAsia="Arial" w:hAnsi="Arial"/>
                <w:sz w:val="13"/>
                <w:szCs w:val="13"/>
                <w:b w:val="1"/>
                <w:bCs w:val="1"/>
                <w:color w:val="auto"/>
              </w:rPr>
              <w:t>Maturity</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89"/>
              </w:rPr>
              <w:t>Schedule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0</wp:posOffset>
            </wp:positionV>
            <wp:extent cx="8483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4200" w:space="720"/>
            <w:col w:w="6320"/>
          </w:cols>
          <w:pgMar w:left="320" w:top="131" w:right="3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111"/>
        </w:trPr>
        <w:tc>
          <w:tcPr>
            <w:tcW w:w="1500" w:type="dxa"/>
            <w:vAlign w:val="bottom"/>
            <w:gridSpan w:val="2"/>
          </w:tcPr>
          <w:p>
            <w:pPr>
              <w:spacing w:after="0" w:line="111" w:lineRule="exact"/>
              <w:rPr>
                <w:sz w:val="20"/>
                <w:szCs w:val="20"/>
                <w:color w:val="auto"/>
              </w:rPr>
            </w:pPr>
            <w:r>
              <w:rPr>
                <w:rFonts w:ascii="Arial" w:cs="Arial" w:eastAsia="Arial" w:hAnsi="Arial"/>
                <w:sz w:val="12"/>
                <w:szCs w:val="12"/>
                <w:color w:val="auto"/>
              </w:rPr>
              <w:t>October 2015 Facility</w:t>
            </w:r>
          </w:p>
        </w:tc>
        <w:tc>
          <w:tcPr>
            <w:tcW w:w="2820" w:type="dxa"/>
            <w:vAlign w:val="bottom"/>
          </w:tcPr>
          <w:p>
            <w:pPr>
              <w:spacing w:after="0" w:line="111" w:lineRule="exact"/>
              <w:rPr>
                <w:sz w:val="20"/>
                <w:szCs w:val="20"/>
                <w:color w:val="auto"/>
              </w:rPr>
            </w:pPr>
            <w:r>
              <w:rPr>
                <w:rFonts w:ascii="Arial" w:cs="Arial" w:eastAsia="Arial" w:hAnsi="Arial"/>
                <w:sz w:val="12"/>
                <w:szCs w:val="12"/>
                <w:color w:val="auto"/>
              </w:rPr>
              <w:t>Citibank, N.A., London Branch, Nordea Bank AB,</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w w:val="96"/>
              </w:rPr>
              <w:t>London Branch, The Export-Import Bank of Korea,</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Bank of America, National Association, BNP</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w w:val="94"/>
              </w:rPr>
              <w:t>Paribas, Sea Bridge Finance Limited, Credit Suisse</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AG, HSBC Bank plc, ING Bank N.V., London</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Branch, KEB HANA Bank, London Branch, KfW</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IPEX-Bank GmbH, National Australia Bank</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Limited, Oversea-Chinese Banking Corporation</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Limited, Société Générale and The Korea</w:t>
            </w:r>
          </w:p>
        </w:tc>
      </w:tr>
      <w:tr>
        <w:trPr>
          <w:trHeight w:val="172"/>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3"/>
                <w:szCs w:val="13"/>
                <w:color w:val="auto"/>
              </w:rPr>
              <w:t>Development Bank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11"/>
        </w:trPr>
        <w:tc>
          <w:tcPr>
            <w:tcW w:w="1860" w:type="dxa"/>
            <w:vAlign w:val="bottom"/>
          </w:tcPr>
          <w:p>
            <w:pPr>
              <w:ind w:left="20"/>
              <w:spacing w:after="0" w:line="111" w:lineRule="exact"/>
              <w:rPr>
                <w:sz w:val="20"/>
                <w:szCs w:val="20"/>
                <w:color w:val="auto"/>
              </w:rPr>
            </w:pPr>
            <w:r>
              <w:rPr>
                <w:rFonts w:ascii="Arial" w:cs="Arial" w:eastAsia="Arial" w:hAnsi="Arial"/>
                <w:sz w:val="12"/>
                <w:szCs w:val="12"/>
                <w:color w:val="auto"/>
              </w:rPr>
              <w:t>GAS-eleven Ltd. (</w:t>
            </w:r>
            <w:r>
              <w:rPr>
                <w:rFonts w:ascii="Arial" w:cs="Arial" w:eastAsia="Arial" w:hAnsi="Arial"/>
                <w:sz w:val="12"/>
                <w:szCs w:val="12"/>
                <w:i w:val="1"/>
                <w:iCs w:val="1"/>
                <w:color w:val="auto"/>
              </w:rPr>
              <w:t>GasLog</w:t>
            </w:r>
          </w:p>
        </w:tc>
        <w:tc>
          <w:tcPr>
            <w:tcW w:w="160" w:type="dxa"/>
            <w:vAlign w:val="bottom"/>
          </w:tcPr>
          <w:p>
            <w:pPr>
              <w:spacing w:after="0"/>
              <w:rPr>
                <w:sz w:val="9"/>
                <w:szCs w:val="9"/>
                <w:color w:val="auto"/>
              </w:rPr>
            </w:pPr>
          </w:p>
        </w:tc>
        <w:tc>
          <w:tcPr>
            <w:tcW w:w="1820" w:type="dxa"/>
            <w:vAlign w:val="bottom"/>
            <w:gridSpan w:val="3"/>
          </w:tcPr>
          <w:p>
            <w:pPr>
              <w:spacing w:after="0" w:line="111" w:lineRule="exact"/>
              <w:rPr>
                <w:sz w:val="20"/>
                <w:szCs w:val="20"/>
                <w:color w:val="auto"/>
              </w:rPr>
            </w:pPr>
            <w:r>
              <w:rPr>
                <w:rFonts w:ascii="Arial" w:cs="Arial" w:eastAsia="Arial" w:hAnsi="Arial"/>
                <w:sz w:val="12"/>
                <w:szCs w:val="12"/>
                <w:color w:val="auto"/>
              </w:rPr>
              <w:t>$873.8 million   Nil</w:t>
            </w:r>
          </w:p>
        </w:tc>
        <w:tc>
          <w:tcPr>
            <w:tcW w:w="160" w:type="dxa"/>
            <w:vAlign w:val="bottom"/>
          </w:tcPr>
          <w:p>
            <w:pPr>
              <w:spacing w:after="0"/>
              <w:rPr>
                <w:sz w:val="9"/>
                <w:szCs w:val="9"/>
                <w:color w:val="auto"/>
              </w:rPr>
            </w:pPr>
          </w:p>
        </w:tc>
        <w:tc>
          <w:tcPr>
            <w:tcW w:w="580" w:type="dxa"/>
            <w:vAlign w:val="bottom"/>
          </w:tcPr>
          <w:p>
            <w:pPr>
              <w:spacing w:after="0" w:line="111" w:lineRule="exact"/>
              <w:rPr>
                <w:sz w:val="20"/>
                <w:szCs w:val="20"/>
                <w:color w:val="auto"/>
              </w:rPr>
            </w:pPr>
            <w:r>
              <w:rPr>
                <w:rFonts w:ascii="Arial" w:cs="Arial" w:eastAsia="Arial" w:hAnsi="Arial"/>
                <w:sz w:val="12"/>
                <w:szCs w:val="12"/>
                <w:color w:val="auto"/>
              </w:rPr>
              <w:t>LIBOR +</w:t>
            </w:r>
          </w:p>
        </w:tc>
        <w:tc>
          <w:tcPr>
            <w:tcW w:w="680" w:type="dxa"/>
            <w:vAlign w:val="bottom"/>
            <w:gridSpan w:val="2"/>
          </w:tcPr>
          <w:p>
            <w:pPr>
              <w:jc w:val="right"/>
              <w:ind w:right="33"/>
              <w:spacing w:after="0" w:line="111" w:lineRule="exact"/>
              <w:rPr>
                <w:sz w:val="20"/>
                <w:szCs w:val="20"/>
                <w:color w:val="auto"/>
              </w:rPr>
            </w:pPr>
            <w:r>
              <w:rPr>
                <w:rFonts w:ascii="Arial" w:cs="Arial" w:eastAsia="Arial" w:hAnsi="Arial"/>
                <w:sz w:val="12"/>
                <w:szCs w:val="12"/>
                <w:color w:val="auto"/>
              </w:rPr>
              <w:t>2028,</w:t>
            </w:r>
          </w:p>
        </w:tc>
      </w:tr>
      <w:tr>
        <w:trPr>
          <w:trHeight w:val="144"/>
        </w:trPr>
        <w:tc>
          <w:tcPr>
            <w:tcW w:w="186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Greece</w:t>
            </w:r>
            <w:r>
              <w:rPr>
                <w:rFonts w:ascii="Arial" w:cs="Arial" w:eastAsia="Arial" w:hAnsi="Arial"/>
                <w:sz w:val="13"/>
                <w:szCs w:val="13"/>
                <w:color w:val="auto"/>
              </w:rPr>
              <w:t>), GAS-twelve Ltd.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4" w:lineRule="exact"/>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line="144" w:lineRule="exact"/>
              <w:rPr>
                <w:sz w:val="20"/>
                <w:szCs w:val="20"/>
                <w:color w:val="auto"/>
              </w:rPr>
            </w:pPr>
            <w:r>
              <w:rPr>
                <w:rFonts w:ascii="Arial" w:cs="Arial" w:eastAsia="Arial" w:hAnsi="Arial"/>
                <w:sz w:val="13"/>
                <w:szCs w:val="13"/>
                <w:color w:val="auto"/>
                <w:w w:val="92"/>
              </w:rPr>
              <w:t>2030 and</w:t>
            </w:r>
          </w:p>
        </w:tc>
      </w:tr>
      <w:tr>
        <w:trPr>
          <w:trHeight w:val="165"/>
        </w:trPr>
        <w:tc>
          <w:tcPr>
            <w:tcW w:w="186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Glasgow</w:t>
            </w:r>
            <w:r>
              <w:rPr>
                <w:rFonts w:ascii="Arial" w:cs="Arial" w:eastAsia="Arial" w:hAnsi="Arial"/>
                <w:sz w:val="13"/>
                <w:szCs w:val="13"/>
                <w:color w:val="auto"/>
              </w:rPr>
              <w:t>), GAS-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680" w:type="dxa"/>
            <w:vAlign w:val="bottom"/>
            <w:gridSpan w:val="2"/>
          </w:tcPr>
          <w:p>
            <w:pPr>
              <w:jc w:val="center"/>
              <w:spacing w:after="0" w:line="165" w:lineRule="exact"/>
              <w:rPr>
                <w:sz w:val="20"/>
                <w:szCs w:val="20"/>
                <w:color w:val="auto"/>
              </w:rPr>
            </w:pPr>
            <w:r>
              <w:rPr>
                <w:rFonts w:ascii="Arial" w:cs="Arial" w:eastAsia="Arial" w:hAnsi="Arial"/>
                <w:sz w:val="12"/>
                <w:szCs w:val="12"/>
                <w:color w:val="auto"/>
              </w:rPr>
              <w:t>2031</w:t>
            </w:r>
            <w:r>
              <w:rPr>
                <w:rFonts w:ascii="Arial" w:cs="Arial" w:eastAsia="Arial" w:hAnsi="Arial"/>
                <w:sz w:val="19"/>
                <w:szCs w:val="19"/>
                <w:color w:val="auto"/>
                <w:vertAlign w:val="superscript"/>
              </w:rPr>
              <w:t>(1)</w:t>
            </w:r>
          </w:p>
        </w:tc>
      </w:tr>
    </w:tbl>
    <w:p>
      <w:pPr>
        <w:ind w:left="20"/>
        <w:spacing w:after="0"/>
        <w:rPr>
          <w:sz w:val="20"/>
          <w:szCs w:val="20"/>
          <w:color w:val="auto"/>
        </w:rPr>
      </w:pPr>
      <w:r>
        <w:rPr>
          <w:rFonts w:ascii="Arial" w:cs="Arial" w:eastAsia="Arial" w:hAnsi="Arial"/>
          <w:sz w:val="13"/>
          <w:szCs w:val="13"/>
          <w:color w:val="auto"/>
        </w:rPr>
        <w:t>thirteen Ltd. (</w:t>
      </w:r>
      <w:r>
        <w:rPr>
          <w:rFonts w:ascii="Arial" w:cs="Arial" w:eastAsia="Arial" w:hAnsi="Arial"/>
          <w:sz w:val="13"/>
          <w:szCs w:val="13"/>
          <w:i w:val="1"/>
          <w:iCs w:val="1"/>
          <w:color w:val="auto"/>
        </w:rPr>
        <w:t>GasLog Geneva</w:t>
      </w:r>
      <w:r>
        <w:rPr>
          <w:rFonts w:ascii="Arial" w:cs="Arial" w:eastAsia="Arial" w:hAnsi="Arial"/>
          <w:sz w:val="13"/>
          <w:szCs w:val="13"/>
          <w:color w:val="auto"/>
        </w:rPr>
        <w:t>),</w:t>
      </w:r>
    </w:p>
    <w:p>
      <w:pPr>
        <w:ind w:left="20"/>
        <w:spacing w:after="0"/>
        <w:rPr>
          <w:sz w:val="20"/>
          <w:szCs w:val="20"/>
          <w:color w:val="auto"/>
        </w:rPr>
      </w:pPr>
      <w:r>
        <w:rPr>
          <w:rFonts w:ascii="Arial" w:cs="Arial" w:eastAsia="Arial" w:hAnsi="Arial"/>
          <w:sz w:val="13"/>
          <w:szCs w:val="13"/>
          <w:color w:val="auto"/>
        </w:rPr>
        <w:t>GAS-fourteen Ltd. (</w:t>
      </w:r>
      <w:r>
        <w:rPr>
          <w:rFonts w:ascii="Arial" w:cs="Arial" w:eastAsia="Arial" w:hAnsi="Arial"/>
          <w:sz w:val="13"/>
          <w:szCs w:val="13"/>
          <w:i w:val="1"/>
          <w:iCs w:val="1"/>
          <w:color w:val="auto"/>
        </w:rPr>
        <w:t>GasLog</w:t>
      </w:r>
    </w:p>
    <w:p>
      <w:pPr>
        <w:ind w:left="20"/>
        <w:spacing w:after="0"/>
        <w:rPr>
          <w:sz w:val="20"/>
          <w:szCs w:val="20"/>
          <w:color w:val="auto"/>
        </w:rPr>
      </w:pPr>
      <w:r>
        <w:rPr>
          <w:rFonts w:ascii="Arial" w:cs="Arial" w:eastAsia="Arial" w:hAnsi="Arial"/>
          <w:sz w:val="13"/>
          <w:szCs w:val="13"/>
          <w:i w:val="1"/>
          <w:iCs w:val="1"/>
          <w:color w:val="auto"/>
        </w:rPr>
        <w:t>Gibraltar</w:t>
      </w:r>
      <w:r>
        <w:rPr>
          <w:rFonts w:ascii="Arial" w:cs="Arial" w:eastAsia="Arial" w:hAnsi="Arial"/>
          <w:sz w:val="13"/>
          <w:szCs w:val="13"/>
          <w:color w:val="auto"/>
        </w:rPr>
        <w:t>), GAS-twenty two Ltd.</w:t>
      </w: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Genoa</w:t>
      </w:r>
      <w:r>
        <w:rPr>
          <w:rFonts w:ascii="Arial" w:cs="Arial" w:eastAsia="Arial" w:hAnsi="Arial"/>
          <w:sz w:val="13"/>
          <w:szCs w:val="13"/>
          <w:color w:val="auto"/>
        </w:rPr>
        <w:t>), GAS-twenty</w:t>
      </w:r>
    </w:p>
    <w:p>
      <w:pPr>
        <w:ind w:left="20"/>
        <w:spacing w:after="0"/>
        <w:rPr>
          <w:sz w:val="20"/>
          <w:szCs w:val="20"/>
          <w:color w:val="auto"/>
        </w:rPr>
      </w:pPr>
      <w:r>
        <w:rPr>
          <w:rFonts w:ascii="Arial" w:cs="Arial" w:eastAsia="Arial" w:hAnsi="Arial"/>
          <w:sz w:val="13"/>
          <w:szCs w:val="13"/>
          <w:color w:val="auto"/>
        </w:rPr>
        <w:t>three Ltd. (</w:t>
      </w:r>
      <w:r>
        <w:rPr>
          <w:rFonts w:ascii="Arial" w:cs="Arial" w:eastAsia="Arial" w:hAnsi="Arial"/>
          <w:sz w:val="13"/>
          <w:szCs w:val="13"/>
          <w:i w:val="1"/>
          <w:iCs w:val="1"/>
          <w:color w:val="auto"/>
        </w:rPr>
        <w:t>GasLog Gladstone</w:t>
      </w:r>
      <w:r>
        <w:rPr>
          <w:rFonts w:ascii="Arial" w:cs="Arial" w:eastAsia="Arial" w:hAnsi="Arial"/>
          <w:sz w:val="13"/>
          <w:szCs w:val="13"/>
          <w:color w:val="auto"/>
        </w:rPr>
        <w:t>)</w:t>
      </w:r>
    </w:p>
    <w:p>
      <w:pPr>
        <w:ind w:left="20"/>
        <w:spacing w:after="0"/>
        <w:rPr>
          <w:sz w:val="20"/>
          <w:szCs w:val="20"/>
          <w:color w:val="auto"/>
        </w:rPr>
      </w:pPr>
      <w:r>
        <w:rPr>
          <w:rFonts w:ascii="Arial" w:cs="Arial" w:eastAsia="Arial" w:hAnsi="Arial"/>
          <w:sz w:val="13"/>
          <w:szCs w:val="13"/>
          <w:color w:val="auto"/>
        </w:rPr>
        <w:t>and GAS-twenty four Ltd.</w:t>
      </w:r>
    </w:p>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Houston</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3"/>
          <w:szCs w:val="13"/>
          <w:color w:val="auto"/>
        </w:rPr>
        <w:t>GAS-eleven Ltd.: 10 consecutive semi-annual installments of</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$5.8 million, a balloon payment due in 2026 of $36.3 million and thereafter 4 consecutive semi-annual installments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$4.2 million until March 2028.</w:t>
      </w:r>
    </w:p>
    <w:p>
      <w:pPr>
        <w:spacing w:after="0" w:line="11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GAS-twelve Ltd.: 10 consecutive semi-annual installments of</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$5.8 million, a balloon payment due in 2026 of $36.3 million and thereafter 4 consecutive semi-annual installments of</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3"/>
          <w:szCs w:val="13"/>
          <w:color w:val="auto"/>
        </w:rPr>
        <w:t>$4.2 million until June 2028.</w:t>
      </w:r>
    </w:p>
    <w:p>
      <w:pPr>
        <w:spacing w:after="0" w:line="186" w:lineRule="exact"/>
        <w:rPr>
          <w:sz w:val="20"/>
          <w:szCs w:val="20"/>
          <w:color w:val="auto"/>
        </w:rPr>
      </w:pPr>
    </w:p>
    <w:p>
      <w:pPr>
        <w:sectPr>
          <w:pgSz w:w="11900" w:h="16838" w:orient="portrait"/>
          <w:cols w:equalWidth="0" w:num="3">
            <w:col w:w="4320" w:space="160"/>
            <w:col w:w="5260" w:space="160"/>
            <w:col w:w="1340"/>
          </w:cols>
          <w:pgMar w:left="320" w:top="13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ind w:left="14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1100" w:type="dxa"/>
            <w:vAlign w:val="bottom"/>
          </w:tcPr>
          <w:p>
            <w:pPr>
              <w:ind w:left="280"/>
              <w:spacing w:after="0"/>
              <w:rPr>
                <w:sz w:val="20"/>
                <w:szCs w:val="20"/>
                <w:color w:val="auto"/>
              </w:rPr>
            </w:pPr>
            <w:r>
              <w:rPr>
                <w:rFonts w:ascii="Arial" w:cs="Arial" w:eastAsia="Arial" w:hAnsi="Arial"/>
                <w:sz w:val="13"/>
                <w:szCs w:val="13"/>
                <w:b w:val="1"/>
                <w:bCs w:val="1"/>
                <w:color w:val="auto"/>
              </w:rPr>
              <w:t>Lender(s)</w:t>
            </w:r>
          </w:p>
        </w:tc>
        <w:tc>
          <w:tcPr>
            <w:tcW w:w="16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Amount</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1580" w:type="dxa"/>
            <w:vAlign w:val="bottom"/>
          </w:tcPr>
          <w:p>
            <w:pPr>
              <w:ind w:left="42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GAS-thirteen Ltd.: 11</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$5.7 million, a balloon</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2026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$35.8 million and</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5"/>
              </w:rPr>
              <w:t>thereafter 4 consecutive</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$4.2 million until</w:t>
            </w:r>
          </w:p>
        </w:tc>
      </w:tr>
      <w:tr>
        <w:trPr>
          <w:trHeight w:val="172"/>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September 2028.</w:t>
            </w:r>
          </w:p>
        </w:tc>
      </w:tr>
      <w:tr>
        <w:trPr>
          <w:trHeight w:val="273"/>
        </w:trPr>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GAS-fourteen Ltd.: 11</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$5.7 million, a balloon</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2026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$35.8 million and</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5"/>
              </w:rPr>
              <w:t>thereafter 4 consecutive</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$4.2 million until</w:t>
            </w:r>
          </w:p>
        </w:tc>
      </w:tr>
      <w:tr>
        <w:trPr>
          <w:trHeight w:val="172"/>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October 2028.</w:t>
            </w:r>
          </w:p>
        </w:tc>
      </w:tr>
      <w:tr>
        <w:trPr>
          <w:trHeight w:val="273"/>
        </w:trPr>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GAS-twenty two Ltd.:</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14 consecutive semi-</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annual 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$5.9 million, a balloon</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2028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$37.0 million and</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5"/>
              </w:rPr>
              <w:t>thereafter 4 consecutive</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9"/>
              </w:rPr>
              <w:t>$4.3 million until March</w:t>
            </w:r>
          </w:p>
        </w:tc>
      </w:tr>
      <w:tr>
        <w:trPr>
          <w:trHeight w:val="172"/>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2030.</w:t>
            </w:r>
          </w:p>
        </w:tc>
      </w:tr>
      <w:tr>
        <w:trPr>
          <w:trHeight w:val="273"/>
        </w:trPr>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GAS-twenty three Ltd.:</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16 consecutive semi-</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annual installments of</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$5.9 million, a balloon</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2029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$37.0 million and</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5"/>
              </w:rPr>
              <w:t>thereafter 4 consecutive</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9"/>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9"/>
              </w:rPr>
              <w:t>$4.3 million until March</w:t>
            </w:r>
          </w:p>
        </w:tc>
      </w:tr>
      <w:tr>
        <w:trPr>
          <w:trHeight w:val="172"/>
        </w:trPr>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2031.</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9"/>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ind w:left="40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140" w:type="dxa"/>
            <w:vAlign w:val="bottom"/>
          </w:tcPr>
          <w:p>
            <w:pPr>
              <w:spacing w:after="0"/>
              <w:rPr>
                <w:sz w:val="14"/>
                <w:szCs w:val="14"/>
                <w:color w:val="auto"/>
              </w:rPr>
            </w:pPr>
          </w:p>
        </w:tc>
        <w:tc>
          <w:tcPr>
            <w:tcW w:w="2860" w:type="dxa"/>
            <w:vAlign w:val="bottom"/>
          </w:tcPr>
          <w:p>
            <w:pPr>
              <w:ind w:left="1160"/>
              <w:spacing w:after="0"/>
              <w:rPr>
                <w:sz w:val="20"/>
                <w:szCs w:val="20"/>
                <w:color w:val="auto"/>
              </w:rPr>
            </w:pPr>
            <w:r>
              <w:rPr>
                <w:rFonts w:ascii="Arial" w:cs="Arial" w:eastAsia="Arial" w:hAnsi="Arial"/>
                <w:sz w:val="13"/>
                <w:szCs w:val="13"/>
                <w:b w:val="1"/>
                <w:bCs w:val="1"/>
                <w:color w:val="auto"/>
              </w:rPr>
              <w:t>Lender(s)</w:t>
            </w:r>
          </w:p>
        </w:tc>
        <w:tc>
          <w:tcPr>
            <w:tcW w:w="180" w:type="dxa"/>
            <w:vAlign w:val="bottom"/>
          </w:tcPr>
          <w:p>
            <w:pPr>
              <w:spacing w:after="0"/>
              <w:rPr>
                <w:sz w:val="14"/>
                <w:szCs w:val="14"/>
                <w:color w:val="auto"/>
              </w:rPr>
            </w:pPr>
          </w:p>
        </w:tc>
        <w:tc>
          <w:tcPr>
            <w:tcW w:w="1800" w:type="dxa"/>
            <w:vAlign w:val="bottom"/>
          </w:tcPr>
          <w:p>
            <w:pPr>
              <w:ind w:left="42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GAS-twenty four Ltd.:</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14 consecutive semi-</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annual installments of</w:t>
            </w:r>
          </w:p>
        </w:tc>
      </w:tr>
      <w:tr>
        <w:trPr>
          <w:trHeight w:val="149"/>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$5.9 million, a balloon</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2028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$37.0 million and</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5"/>
              </w:rPr>
              <w:t>thereafter 4 consecutive</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semi-annual</w:t>
            </w:r>
          </w:p>
        </w:tc>
      </w:tr>
      <w:tr>
        <w:trPr>
          <w:trHeight w:val="149"/>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$4.3 million until</w:t>
            </w:r>
          </w:p>
        </w:tc>
      </w:tr>
      <w:tr>
        <w:trPr>
          <w:trHeight w:val="172"/>
        </w:trPr>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January 2030.</w:t>
            </w:r>
          </w:p>
        </w:tc>
      </w:tr>
      <w:tr>
        <w:trPr>
          <w:trHeight w:val="273"/>
        </w:trPr>
        <w:tc>
          <w:tcPr>
            <w:tcW w:w="1360" w:type="dxa"/>
            <w:vAlign w:val="bottom"/>
            <w:gridSpan w:val="2"/>
          </w:tcPr>
          <w:p>
            <w:pPr>
              <w:spacing w:after="0"/>
              <w:rPr>
                <w:sz w:val="20"/>
                <w:szCs w:val="20"/>
                <w:color w:val="auto"/>
              </w:rPr>
            </w:pPr>
            <w:r>
              <w:rPr>
                <w:rFonts w:ascii="Arial" w:cs="Arial" w:eastAsia="Arial" w:hAnsi="Arial"/>
                <w:sz w:val="13"/>
                <w:szCs w:val="13"/>
                <w:color w:val="auto"/>
              </w:rPr>
              <w:t>2019 GasLog Partners</w:t>
            </w:r>
          </w:p>
        </w:tc>
        <w:tc>
          <w:tcPr>
            <w:tcW w:w="3000" w:type="dxa"/>
            <w:vAlign w:val="bottom"/>
            <w:gridSpan w:val="2"/>
          </w:tcPr>
          <w:p>
            <w:pPr>
              <w:ind w:left="140"/>
              <w:spacing w:after="0"/>
              <w:rPr>
                <w:sz w:val="20"/>
                <w:szCs w:val="20"/>
                <w:color w:val="auto"/>
              </w:rPr>
            </w:pPr>
            <w:r>
              <w:rPr>
                <w:rFonts w:ascii="Arial" w:cs="Arial" w:eastAsia="Arial" w:hAnsi="Arial"/>
                <w:sz w:val="13"/>
                <w:szCs w:val="13"/>
                <w:color w:val="auto"/>
                <w:w w:val="94"/>
              </w:rPr>
              <w:t>Credit Suisse AG, Nordea, Iyo Bank Ltd., Singapore</w:t>
            </w: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GAS-three Ltd. (</w:t>
            </w:r>
            <w:r>
              <w:rPr>
                <w:rFonts w:ascii="Arial" w:cs="Arial" w:eastAsia="Arial" w:hAnsi="Arial"/>
                <w:sz w:val="13"/>
                <w:szCs w:val="13"/>
                <w:i w:val="1"/>
                <w:iCs w:val="1"/>
                <w:color w:val="auto"/>
              </w:rPr>
              <w:t>GasLog</w:t>
            </w:r>
          </w:p>
        </w:tc>
        <w:tc>
          <w:tcPr>
            <w:tcW w:w="960" w:type="dxa"/>
            <w:vAlign w:val="bottom"/>
            <w:gridSpan w:val="2"/>
          </w:tcPr>
          <w:p>
            <w:pPr>
              <w:jc w:val="center"/>
              <w:ind w:left="93"/>
              <w:spacing w:after="0"/>
              <w:rPr>
                <w:sz w:val="20"/>
                <w:szCs w:val="20"/>
                <w:color w:val="auto"/>
              </w:rPr>
            </w:pPr>
            <w:r>
              <w:rPr>
                <w:rFonts w:ascii="Arial" w:cs="Arial" w:eastAsia="Arial" w:hAnsi="Arial"/>
                <w:sz w:val="13"/>
                <w:szCs w:val="13"/>
                <w:color w:val="auto"/>
                <w:w w:val="99"/>
              </w:rPr>
              <w:t>$398.5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Nil</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2024</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3"/>
              </w:rPr>
              <w:t>13 consecutive quarterly</w:t>
            </w:r>
          </w:p>
        </w:tc>
      </w:tr>
      <w:tr>
        <w:trPr>
          <w:trHeight w:val="149"/>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Facility</w:t>
            </w:r>
          </w:p>
        </w:tc>
        <w:tc>
          <w:tcPr>
            <w:tcW w:w="3000" w:type="dxa"/>
            <w:vAlign w:val="bottom"/>
            <w:gridSpan w:val="2"/>
          </w:tcPr>
          <w:p>
            <w:pPr>
              <w:ind w:left="140"/>
              <w:spacing w:after="0"/>
              <w:rPr>
                <w:sz w:val="20"/>
                <w:szCs w:val="20"/>
                <w:color w:val="auto"/>
              </w:rPr>
            </w:pPr>
            <w:r>
              <w:rPr>
                <w:rFonts w:ascii="Arial" w:cs="Arial" w:eastAsia="Arial" w:hAnsi="Arial"/>
                <w:sz w:val="13"/>
                <w:szCs w:val="13"/>
                <w:color w:val="auto"/>
              </w:rPr>
              <w:t>Branch and Development Bank of Japan, Inc.</w:t>
            </w:r>
          </w:p>
        </w:tc>
        <w:tc>
          <w:tcPr>
            <w:tcW w:w="1980" w:type="dxa"/>
            <w:vAlign w:val="bottom"/>
            <w:gridSpan w:val="2"/>
          </w:tcPr>
          <w:p>
            <w:pPr>
              <w:ind w:left="180"/>
              <w:spacing w:after="0"/>
              <w:rPr>
                <w:sz w:val="20"/>
                <w:szCs w:val="20"/>
                <w:color w:val="auto"/>
              </w:rPr>
            </w:pPr>
            <w:r>
              <w:rPr>
                <w:rFonts w:ascii="Arial" w:cs="Arial" w:eastAsia="Arial" w:hAnsi="Arial"/>
                <w:sz w:val="13"/>
                <w:szCs w:val="13"/>
                <w:i w:val="1"/>
                <w:iCs w:val="1"/>
                <w:color w:val="auto"/>
              </w:rPr>
              <w:t>Shanghai</w:t>
            </w:r>
            <w:r>
              <w:rPr>
                <w:rFonts w:ascii="Arial" w:cs="Arial" w:eastAsia="Arial" w:hAnsi="Arial"/>
                <w:sz w:val="13"/>
                <w:szCs w:val="13"/>
                <w:color w:val="auto"/>
              </w:rPr>
              <w:t>), GAS-four Ltd.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reductions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Santiago</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$7.4 million and a</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five Ltd. (</w:t>
            </w:r>
            <w:r>
              <w:rPr>
                <w:rFonts w:ascii="Arial" w:cs="Arial" w:eastAsia="Arial" w:hAnsi="Arial"/>
                <w:sz w:val="13"/>
                <w:szCs w:val="13"/>
                <w:i w:val="1"/>
                <w:iCs w:val="1"/>
                <w:color w:val="auto"/>
              </w:rPr>
              <w:t>GasLog Sydney</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balloon amount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w w:val="96"/>
              </w:rPr>
              <w:t>GAS-sixteen Ltd. (</w:t>
            </w:r>
            <w:r>
              <w:rPr>
                <w:rFonts w:ascii="Arial" w:cs="Arial" w:eastAsia="Arial" w:hAnsi="Arial"/>
                <w:sz w:val="13"/>
                <w:szCs w:val="13"/>
                <w:i w:val="1"/>
                <w:iCs w:val="1"/>
                <w:color w:val="auto"/>
                <w:w w:val="96"/>
              </w:rPr>
              <w:t>Methane Rita</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$302.9 million, together</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i w:val="1"/>
                <w:iCs w:val="1"/>
                <w:color w:val="auto"/>
                <w:w w:val="92"/>
              </w:rPr>
              <w:t>Andrea</w:t>
            </w:r>
            <w:r>
              <w:rPr>
                <w:rFonts w:ascii="Arial" w:cs="Arial" w:eastAsia="Arial" w:hAnsi="Arial"/>
                <w:sz w:val="13"/>
                <w:szCs w:val="13"/>
                <w:color w:val="auto"/>
                <w:w w:val="92"/>
              </w:rPr>
              <w:t>) and GAS-seventeen Ltd.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with the final quarterly</w:t>
            </w:r>
          </w:p>
        </w:tc>
      </w:tr>
      <w:tr>
        <w:trPr>
          <w:trHeight w:val="172"/>
        </w:trPr>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Methane Jane Elizabeth</w:t>
            </w: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reduction.</w:t>
            </w:r>
          </w:p>
        </w:tc>
      </w:tr>
      <w:tr>
        <w:trPr>
          <w:trHeight w:val="273"/>
        </w:trPr>
        <w:tc>
          <w:tcPr>
            <w:tcW w:w="1360" w:type="dxa"/>
            <w:vAlign w:val="bottom"/>
            <w:gridSpan w:val="2"/>
          </w:tcPr>
          <w:p>
            <w:pPr>
              <w:spacing w:after="0"/>
              <w:rPr>
                <w:sz w:val="20"/>
                <w:szCs w:val="20"/>
                <w:color w:val="auto"/>
              </w:rPr>
            </w:pPr>
            <w:r>
              <w:rPr>
                <w:rFonts w:ascii="Arial" w:cs="Arial" w:eastAsia="Arial" w:hAnsi="Arial"/>
                <w:sz w:val="13"/>
                <w:szCs w:val="13"/>
                <w:color w:val="auto"/>
              </w:rPr>
              <w:t>GasLog Warsaw</w:t>
            </w:r>
          </w:p>
        </w:tc>
        <w:tc>
          <w:tcPr>
            <w:tcW w:w="3000" w:type="dxa"/>
            <w:vAlign w:val="bottom"/>
            <w:gridSpan w:val="2"/>
          </w:tcPr>
          <w:p>
            <w:pPr>
              <w:ind w:left="140"/>
              <w:spacing w:after="0"/>
              <w:rPr>
                <w:sz w:val="20"/>
                <w:szCs w:val="20"/>
                <w:color w:val="auto"/>
              </w:rPr>
            </w:pPr>
            <w:r>
              <w:rPr>
                <w:rFonts w:ascii="Arial" w:cs="Arial" w:eastAsia="Arial" w:hAnsi="Arial"/>
                <w:sz w:val="13"/>
                <w:szCs w:val="13"/>
                <w:color w:val="auto"/>
              </w:rPr>
              <w:t>ABN AMRO BANK N.V. and Oversea-Chinese</w:t>
            </w: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GasLog Hellas-1 Special</w:t>
            </w:r>
          </w:p>
        </w:tc>
        <w:tc>
          <w:tcPr>
            <w:tcW w:w="960" w:type="dxa"/>
            <w:vAlign w:val="bottom"/>
            <w:gridSpan w:val="2"/>
          </w:tcPr>
          <w:p>
            <w:pPr>
              <w:jc w:val="center"/>
              <w:ind w:left="93"/>
              <w:spacing w:after="0"/>
              <w:rPr>
                <w:sz w:val="20"/>
                <w:szCs w:val="20"/>
                <w:color w:val="auto"/>
              </w:rPr>
            </w:pPr>
            <w:r>
              <w:rPr>
                <w:rFonts w:ascii="Arial" w:cs="Arial" w:eastAsia="Arial" w:hAnsi="Arial"/>
                <w:sz w:val="13"/>
                <w:szCs w:val="13"/>
                <w:color w:val="auto"/>
                <w:w w:val="99"/>
              </w:rPr>
              <w:t>$121.4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2026</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3"/>
              </w:rPr>
              <w:t>23 consecutive quarterly</w:t>
            </w:r>
          </w:p>
        </w:tc>
      </w:tr>
      <w:tr>
        <w:trPr>
          <w:trHeight w:val="148"/>
        </w:trPr>
        <w:tc>
          <w:tcPr>
            <w:tcW w:w="1360" w:type="dxa"/>
            <w:vAlign w:val="bottom"/>
            <w:gridSpan w:val="2"/>
          </w:tcPr>
          <w:p>
            <w:pPr>
              <w:ind w:left="140"/>
              <w:spacing w:after="0"/>
              <w:rPr>
                <w:sz w:val="20"/>
                <w:szCs w:val="20"/>
                <w:color w:val="auto"/>
              </w:rPr>
            </w:pPr>
            <w:r>
              <w:rPr>
                <w:rFonts w:ascii="Arial" w:cs="Arial" w:eastAsia="Arial" w:hAnsi="Arial"/>
                <w:sz w:val="13"/>
                <w:szCs w:val="13"/>
                <w:color w:val="auto"/>
              </w:rPr>
              <w:t>Facility</w:t>
            </w:r>
          </w:p>
        </w:tc>
        <w:tc>
          <w:tcPr>
            <w:tcW w:w="3000" w:type="dxa"/>
            <w:vAlign w:val="bottom"/>
            <w:gridSpan w:val="2"/>
          </w:tcPr>
          <w:p>
            <w:pPr>
              <w:ind w:left="140"/>
              <w:spacing w:after="0"/>
              <w:rPr>
                <w:sz w:val="20"/>
                <w:szCs w:val="20"/>
                <w:color w:val="auto"/>
              </w:rPr>
            </w:pPr>
            <w:r>
              <w:rPr>
                <w:rFonts w:ascii="Arial" w:cs="Arial" w:eastAsia="Arial" w:hAnsi="Arial"/>
                <w:sz w:val="13"/>
                <w:szCs w:val="13"/>
                <w:color w:val="auto"/>
              </w:rPr>
              <w:t>Banking Corporation Limited</w:t>
            </w:r>
          </w:p>
        </w:tc>
        <w:tc>
          <w:tcPr>
            <w:tcW w:w="1980" w:type="dxa"/>
            <w:vAlign w:val="bottom"/>
            <w:gridSpan w:val="2"/>
          </w:tcPr>
          <w:p>
            <w:pPr>
              <w:ind w:left="180"/>
              <w:spacing w:after="0"/>
              <w:rPr>
                <w:sz w:val="20"/>
                <w:szCs w:val="20"/>
                <w:color w:val="auto"/>
              </w:rPr>
            </w:pPr>
            <w:r>
              <w:rPr>
                <w:rFonts w:ascii="Arial" w:cs="Arial" w:eastAsia="Arial" w:hAnsi="Arial"/>
                <w:sz w:val="13"/>
                <w:szCs w:val="13"/>
                <w:color w:val="auto"/>
              </w:rPr>
              <w:t>Maritime Enterprise (</w:t>
            </w:r>
            <w:r>
              <w:rPr>
                <w:rFonts w:ascii="Arial" w:cs="Arial" w:eastAsia="Arial" w:hAnsi="Arial"/>
                <w:sz w:val="13"/>
                <w:szCs w:val="13"/>
                <w:i w:val="1"/>
                <w:iCs w:val="1"/>
                <w:color w:val="auto"/>
              </w:rPr>
              <w:t>GasLog</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repayments of</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80" w:type="dxa"/>
            <w:vAlign w:val="bottom"/>
            <w:gridSpan w:val="2"/>
          </w:tcPr>
          <w:p>
            <w:pPr>
              <w:ind w:left="180"/>
              <w:spacing w:after="0"/>
              <w:rPr>
                <w:sz w:val="20"/>
                <w:szCs w:val="20"/>
                <w:color w:val="auto"/>
              </w:rPr>
            </w:pPr>
            <w:r>
              <w:rPr>
                <w:rFonts w:ascii="Arial" w:cs="Arial" w:eastAsia="Arial" w:hAnsi="Arial"/>
                <w:sz w:val="13"/>
                <w:szCs w:val="13"/>
                <w:i w:val="1"/>
                <w:iCs w:val="1"/>
                <w:color w:val="auto"/>
              </w:rPr>
              <w:t>Warsaw</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$1.6 million and a</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balloon amount of</w:t>
            </w:r>
          </w:p>
        </w:tc>
      </w:tr>
      <w:tr>
        <w:trPr>
          <w:trHeight w:val="149"/>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$84.2 million together</w:t>
            </w:r>
          </w:p>
        </w:tc>
      </w:tr>
      <w:tr>
        <w:trPr>
          <w:trHeight w:val="148"/>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with the final quarterly</w:t>
            </w:r>
          </w:p>
        </w:tc>
      </w:tr>
      <w:tr>
        <w:trPr>
          <w:trHeight w:val="172"/>
        </w:trPr>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reduction.</w:t>
            </w:r>
          </w:p>
        </w:tc>
      </w:tr>
    </w:tbl>
    <w:p>
      <w:pPr>
        <w:spacing w:after="0" w:line="119" w:lineRule="exact"/>
        <w:rPr>
          <w:sz w:val="20"/>
          <w:szCs w:val="20"/>
          <w:color w:val="auto"/>
        </w:rPr>
      </w:pPr>
    </w:p>
    <w:p>
      <w:pPr>
        <w:sectPr>
          <w:pgSz w:w="11900" w:h="16838" w:orient="portrait"/>
          <w:cols w:equalWidth="0" w:num="1">
            <w:col w:w="11240"/>
          </w:cols>
          <w:pgMar w:left="320" w:top="131"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7xNB Facility</w:t>
            </w:r>
          </w:p>
        </w:tc>
        <w:tc>
          <w:tcPr>
            <w:tcW w:w="3240" w:type="dxa"/>
            <w:vAlign w:val="bottom"/>
          </w:tcPr>
          <w:p>
            <w:pPr>
              <w:ind w:left="360"/>
              <w:spacing w:after="0"/>
              <w:rPr>
                <w:sz w:val="20"/>
                <w:szCs w:val="20"/>
                <w:color w:val="auto"/>
              </w:rPr>
            </w:pPr>
            <w:r>
              <w:rPr>
                <w:rFonts w:ascii="Arial" w:cs="Arial" w:eastAsia="Arial" w:hAnsi="Arial"/>
                <w:sz w:val="13"/>
                <w:szCs w:val="13"/>
                <w:color w:val="auto"/>
              </w:rPr>
              <w:t>Citibank, N.A., London Branch, DNB (UK) Ltd.,</w:t>
            </w:r>
          </w:p>
        </w:tc>
        <w:tc>
          <w:tcPr>
            <w:tcW w:w="4000" w:type="dxa"/>
            <w:vAlign w:val="bottom"/>
          </w:tcPr>
          <w:p>
            <w:pPr>
              <w:ind w:left="160"/>
              <w:spacing w:after="0"/>
              <w:rPr>
                <w:sz w:val="20"/>
                <w:szCs w:val="20"/>
                <w:color w:val="auto"/>
              </w:rPr>
            </w:pPr>
            <w:r>
              <w:rPr>
                <w:rFonts w:ascii="Arial" w:cs="Arial" w:eastAsia="Arial" w:hAnsi="Arial"/>
                <w:sz w:val="13"/>
                <w:szCs w:val="13"/>
                <w:color w:val="auto"/>
              </w:rPr>
              <w:t>GAS-twenty eight Ltd. ("</w:t>
            </w:r>
            <w:r>
              <w:rPr>
                <w:rFonts w:ascii="Arial" w:cs="Arial" w:eastAsia="Arial" w:hAnsi="Arial"/>
                <w:sz w:val="13"/>
                <w:szCs w:val="13"/>
                <w:i w:val="1"/>
                <w:iCs w:val="1"/>
                <w:color w:val="auto"/>
              </w:rPr>
              <w:t>GasLog</w:t>
            </w:r>
            <w:r>
              <w:rPr>
                <w:rFonts w:ascii="Arial" w:cs="Arial" w:eastAsia="Arial" w:hAnsi="Arial"/>
                <w:sz w:val="13"/>
                <w:szCs w:val="13"/>
                <w:color w:val="auto"/>
              </w:rPr>
              <w:t xml:space="preserve">   $738.4 million   $305.9 million</w:t>
            </w:r>
          </w:p>
        </w:tc>
        <w:tc>
          <w:tcPr>
            <w:tcW w:w="760" w:type="dxa"/>
            <w:vAlign w:val="bottom"/>
          </w:tcPr>
          <w:p>
            <w:pPr>
              <w:ind w:left="100"/>
              <w:spacing w:after="0"/>
              <w:rPr>
                <w:sz w:val="20"/>
                <w:szCs w:val="20"/>
                <w:color w:val="auto"/>
              </w:rPr>
            </w:pPr>
            <w:r>
              <w:rPr>
                <w:rFonts w:ascii="Arial" w:cs="Arial" w:eastAsia="Arial" w:hAnsi="Arial"/>
                <w:sz w:val="13"/>
                <w:szCs w:val="13"/>
                <w:color w:val="auto"/>
              </w:rPr>
              <w:t>LIBOR +</w:t>
            </w:r>
          </w:p>
        </w:tc>
        <w:tc>
          <w:tcPr>
            <w:tcW w:w="580" w:type="dxa"/>
            <w:vAlign w:val="bottom"/>
          </w:tcPr>
          <w:p>
            <w:pPr>
              <w:jc w:val="center"/>
              <w:ind w:left="16"/>
              <w:spacing w:after="0"/>
              <w:rPr>
                <w:sz w:val="20"/>
                <w:szCs w:val="20"/>
                <w:color w:val="auto"/>
              </w:rPr>
            </w:pPr>
            <w:r>
              <w:rPr>
                <w:rFonts w:ascii="Arial" w:cs="Arial" w:eastAsia="Arial" w:hAnsi="Arial"/>
                <w:sz w:val="13"/>
                <w:szCs w:val="13"/>
                <w:color w:val="auto"/>
                <w:w w:val="92"/>
              </w:rPr>
              <w:t>2032 and</w:t>
            </w:r>
          </w:p>
        </w:tc>
      </w:tr>
      <w:tr>
        <w:trPr>
          <w:trHeight w:val="164"/>
        </w:trPr>
        <w:tc>
          <w:tcPr>
            <w:tcW w:w="1140" w:type="dxa"/>
            <w:vAlign w:val="bottom"/>
          </w:tcPr>
          <w:p>
            <w:pPr>
              <w:spacing w:after="0"/>
              <w:rPr>
                <w:sz w:val="14"/>
                <w:szCs w:val="14"/>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Skandinaviska Enskilda Banken AB (publ), The</w:t>
            </w:r>
          </w:p>
        </w:tc>
        <w:tc>
          <w:tcPr>
            <w:tcW w:w="4000" w:type="dxa"/>
            <w:vAlign w:val="bottom"/>
          </w:tcPr>
          <w:p>
            <w:pPr>
              <w:ind w:left="160"/>
              <w:spacing w:after="0"/>
              <w:rPr>
                <w:sz w:val="20"/>
                <w:szCs w:val="20"/>
                <w:color w:val="auto"/>
              </w:rPr>
            </w:pPr>
            <w:r>
              <w:rPr>
                <w:rFonts w:ascii="Arial" w:cs="Arial" w:eastAsia="Arial" w:hAnsi="Arial"/>
                <w:sz w:val="13"/>
                <w:szCs w:val="13"/>
                <w:i w:val="1"/>
                <w:iCs w:val="1"/>
                <w:color w:val="auto"/>
              </w:rPr>
              <w:t>Windsor</w:t>
            </w:r>
            <w:r>
              <w:rPr>
                <w:rFonts w:ascii="Arial" w:cs="Arial" w:eastAsia="Arial" w:hAnsi="Arial"/>
                <w:sz w:val="13"/>
                <w:szCs w:val="13"/>
                <w:color w:val="auto"/>
              </w:rPr>
              <w:t>"), GAS-thirty Ltd.</w:t>
            </w:r>
          </w:p>
        </w:tc>
        <w:tc>
          <w:tcPr>
            <w:tcW w:w="760" w:type="dxa"/>
            <w:vAlign w:val="bottom"/>
          </w:tcPr>
          <w:p>
            <w:pPr>
              <w:ind w:left="100"/>
              <w:spacing w:after="0"/>
              <w:rPr>
                <w:sz w:val="20"/>
                <w:szCs w:val="20"/>
                <w:color w:val="auto"/>
              </w:rPr>
            </w:pPr>
            <w:r>
              <w:rPr>
                <w:rFonts w:ascii="Arial" w:cs="Arial" w:eastAsia="Arial" w:hAnsi="Arial"/>
                <w:sz w:val="13"/>
                <w:szCs w:val="13"/>
                <w:color w:val="auto"/>
              </w:rPr>
              <w:t>applicable</w:t>
            </w:r>
          </w:p>
        </w:tc>
        <w:tc>
          <w:tcPr>
            <w:tcW w:w="580" w:type="dxa"/>
            <w:vAlign w:val="bottom"/>
          </w:tcPr>
          <w:p>
            <w:pPr>
              <w:jc w:val="center"/>
              <w:spacing w:after="0" w:line="164" w:lineRule="exact"/>
              <w:rPr>
                <w:sz w:val="20"/>
                <w:szCs w:val="20"/>
                <w:color w:val="auto"/>
              </w:rPr>
            </w:pPr>
            <w:r>
              <w:rPr>
                <w:rFonts w:ascii="Arial" w:cs="Arial" w:eastAsia="Arial" w:hAnsi="Arial"/>
                <w:sz w:val="12"/>
                <w:szCs w:val="12"/>
                <w:color w:val="auto"/>
              </w:rPr>
              <w:t>2033</w:t>
            </w:r>
            <w:r>
              <w:rPr>
                <w:rFonts w:ascii="Arial" w:cs="Arial" w:eastAsia="Arial" w:hAnsi="Arial"/>
                <w:sz w:val="19"/>
                <w:szCs w:val="19"/>
                <w:color w:val="auto"/>
                <w:vertAlign w:val="superscript"/>
              </w:rPr>
              <w:t>(1)</w:t>
            </w:r>
          </w:p>
        </w:tc>
      </w:tr>
      <w:tr>
        <w:trPr>
          <w:trHeight w:val="138"/>
        </w:trPr>
        <w:tc>
          <w:tcPr>
            <w:tcW w:w="1140" w:type="dxa"/>
            <w:vAlign w:val="bottom"/>
          </w:tcPr>
          <w:p>
            <w:pPr>
              <w:spacing w:after="0"/>
              <w:rPr>
                <w:sz w:val="11"/>
                <w:szCs w:val="11"/>
                <w:color w:val="auto"/>
              </w:rPr>
            </w:pPr>
          </w:p>
        </w:tc>
        <w:tc>
          <w:tcPr>
            <w:tcW w:w="3240" w:type="dxa"/>
            <w:vAlign w:val="bottom"/>
          </w:tcPr>
          <w:p>
            <w:pPr>
              <w:ind w:left="360"/>
              <w:spacing w:after="0" w:line="138" w:lineRule="exact"/>
              <w:rPr>
                <w:sz w:val="20"/>
                <w:szCs w:val="20"/>
                <w:color w:val="auto"/>
              </w:rPr>
            </w:pPr>
            <w:r>
              <w:rPr>
                <w:rFonts w:ascii="Arial" w:cs="Arial" w:eastAsia="Arial" w:hAnsi="Arial"/>
                <w:sz w:val="13"/>
                <w:szCs w:val="13"/>
                <w:color w:val="auto"/>
              </w:rPr>
              <w:t>Export-Import Bank of Korea, Bank of America,</w:t>
            </w:r>
          </w:p>
        </w:tc>
        <w:tc>
          <w:tcPr>
            <w:tcW w:w="4000" w:type="dxa"/>
            <w:vAlign w:val="bottom"/>
          </w:tcPr>
          <w:p>
            <w:pPr>
              <w:ind w:left="160"/>
              <w:spacing w:after="0" w:line="138" w:lineRule="exact"/>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Westminster</w:t>
            </w:r>
            <w:r>
              <w:rPr>
                <w:rFonts w:ascii="Arial" w:cs="Arial" w:eastAsia="Arial" w:hAnsi="Arial"/>
                <w:sz w:val="13"/>
                <w:szCs w:val="13"/>
                <w:color w:val="auto"/>
              </w:rPr>
              <w:t>"), GAS-</w:t>
            </w:r>
          </w:p>
        </w:tc>
        <w:tc>
          <w:tcPr>
            <w:tcW w:w="760" w:type="dxa"/>
            <w:vAlign w:val="bottom"/>
          </w:tcPr>
          <w:p>
            <w:pPr>
              <w:ind w:left="100"/>
              <w:spacing w:after="0" w:line="138" w:lineRule="exact"/>
              <w:rPr>
                <w:sz w:val="20"/>
                <w:szCs w:val="20"/>
                <w:color w:val="auto"/>
              </w:rPr>
            </w:pPr>
            <w:r>
              <w:rPr>
                <w:rFonts w:ascii="Arial" w:cs="Arial" w:eastAsia="Arial" w:hAnsi="Arial"/>
                <w:sz w:val="13"/>
                <w:szCs w:val="13"/>
                <w:color w:val="auto"/>
              </w:rPr>
              <w:t>margin</w:t>
            </w:r>
          </w:p>
        </w:tc>
        <w:tc>
          <w:tcPr>
            <w:tcW w:w="580" w:type="dxa"/>
            <w:vAlign w:val="bottom"/>
          </w:tcPr>
          <w:p>
            <w:pPr>
              <w:spacing w:after="0"/>
              <w:rPr>
                <w:sz w:val="11"/>
                <w:szCs w:val="11"/>
                <w:color w:val="auto"/>
              </w:rPr>
            </w:pPr>
          </w:p>
        </w:tc>
      </w:tr>
      <w:tr>
        <w:trPr>
          <w:trHeight w:val="148"/>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w w:val="99"/>
              </w:rPr>
              <w:t>National Association, BNP Paribas, Seoul Branch,</w:t>
            </w:r>
          </w:p>
        </w:tc>
        <w:tc>
          <w:tcPr>
            <w:tcW w:w="4000" w:type="dxa"/>
            <w:vAlign w:val="bottom"/>
          </w:tcPr>
          <w:p>
            <w:pPr>
              <w:ind w:left="160"/>
              <w:spacing w:after="0"/>
              <w:rPr>
                <w:sz w:val="20"/>
                <w:szCs w:val="20"/>
                <w:color w:val="auto"/>
              </w:rPr>
            </w:pPr>
            <w:r>
              <w:rPr>
                <w:rFonts w:ascii="Arial" w:cs="Arial" w:eastAsia="Arial" w:hAnsi="Arial"/>
                <w:sz w:val="13"/>
                <w:szCs w:val="13"/>
                <w:color w:val="auto"/>
              </w:rPr>
              <w:t>thirty one Ltd. ("</w:t>
            </w:r>
            <w:r>
              <w:rPr>
                <w:rFonts w:ascii="Arial" w:cs="Arial" w:eastAsia="Arial" w:hAnsi="Arial"/>
                <w:sz w:val="13"/>
                <w:szCs w:val="13"/>
                <w:i w:val="1"/>
                <w:iCs w:val="1"/>
                <w:color w:val="auto"/>
              </w:rPr>
              <w:t>GasLog</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Commonwealth Bank of Australia, KfW IPEX-</w:t>
            </w:r>
          </w:p>
        </w:tc>
        <w:tc>
          <w:tcPr>
            <w:tcW w:w="4000" w:type="dxa"/>
            <w:vAlign w:val="bottom"/>
          </w:tcPr>
          <w:p>
            <w:pPr>
              <w:ind w:left="160"/>
              <w:spacing w:after="0"/>
              <w:rPr>
                <w:sz w:val="20"/>
                <w:szCs w:val="20"/>
                <w:color w:val="auto"/>
              </w:rPr>
            </w:pPr>
            <w:r>
              <w:rPr>
                <w:rFonts w:ascii="Arial" w:cs="Arial" w:eastAsia="Arial" w:hAnsi="Arial"/>
                <w:sz w:val="13"/>
                <w:szCs w:val="13"/>
                <w:i w:val="1"/>
                <w:iCs w:val="1"/>
                <w:color w:val="auto"/>
              </w:rPr>
              <w:t>Wales</w:t>
            </w:r>
            <w:r>
              <w:rPr>
                <w:rFonts w:ascii="Arial" w:cs="Arial" w:eastAsia="Arial" w:hAnsi="Arial"/>
                <w:sz w:val="13"/>
                <w:szCs w:val="13"/>
                <w:color w:val="auto"/>
              </w:rPr>
              <w:t>"), GAS-thirty two Ltd.</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Bank GmbH, National Australia Bank Limited,</w:t>
            </w:r>
          </w:p>
        </w:tc>
        <w:tc>
          <w:tcPr>
            <w:tcW w:w="4000" w:type="dxa"/>
            <w:vAlign w:val="bottom"/>
          </w:tcPr>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Geargetown</w:t>
            </w:r>
            <w:r>
              <w:rPr>
                <w:rFonts w:ascii="Arial" w:cs="Arial" w:eastAsia="Arial" w:hAnsi="Arial"/>
                <w:sz w:val="13"/>
                <w:szCs w:val="13"/>
                <w:color w:val="auto"/>
              </w:rPr>
              <w:t>"), GAS-</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Oversea-Chinese Banking Corporation Limited,</w:t>
            </w:r>
          </w:p>
        </w:tc>
        <w:tc>
          <w:tcPr>
            <w:tcW w:w="4000" w:type="dxa"/>
            <w:vAlign w:val="bottom"/>
          </w:tcPr>
          <w:p>
            <w:pPr>
              <w:ind w:left="160"/>
              <w:spacing w:after="0"/>
              <w:rPr>
                <w:sz w:val="20"/>
                <w:szCs w:val="20"/>
                <w:color w:val="auto"/>
              </w:rPr>
            </w:pPr>
            <w:r>
              <w:rPr>
                <w:rFonts w:ascii="Arial" w:cs="Arial" w:eastAsia="Arial" w:hAnsi="Arial"/>
                <w:sz w:val="13"/>
                <w:szCs w:val="13"/>
                <w:color w:val="auto"/>
              </w:rPr>
              <w:t>thirty three Ltd. ("</w:t>
            </w:r>
            <w:r>
              <w:rPr>
                <w:rFonts w:ascii="Arial" w:cs="Arial" w:eastAsia="Arial" w:hAnsi="Arial"/>
                <w:sz w:val="13"/>
                <w:szCs w:val="13"/>
                <w:i w:val="1"/>
                <w:iCs w:val="1"/>
                <w:color w:val="auto"/>
              </w:rPr>
              <w:t>GasLog</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Société Générale, Standard Chartered Bank, The</w:t>
            </w:r>
          </w:p>
        </w:tc>
        <w:tc>
          <w:tcPr>
            <w:tcW w:w="4000" w:type="dxa"/>
            <w:vAlign w:val="bottom"/>
          </w:tcPr>
          <w:p>
            <w:pPr>
              <w:ind w:left="160"/>
              <w:spacing w:after="0"/>
              <w:rPr>
                <w:sz w:val="20"/>
                <w:szCs w:val="20"/>
                <w:color w:val="auto"/>
              </w:rPr>
            </w:pPr>
            <w:r>
              <w:rPr>
                <w:rFonts w:ascii="Arial" w:cs="Arial" w:eastAsia="Arial" w:hAnsi="Arial"/>
                <w:sz w:val="13"/>
                <w:szCs w:val="13"/>
                <w:i w:val="1"/>
                <w:iCs w:val="1"/>
                <w:color w:val="auto"/>
              </w:rPr>
              <w:t>Galveston</w:t>
            </w:r>
            <w:r>
              <w:rPr>
                <w:rFonts w:ascii="Arial" w:cs="Arial" w:eastAsia="Arial" w:hAnsi="Arial"/>
                <w:sz w:val="13"/>
                <w:szCs w:val="13"/>
                <w:color w:val="auto"/>
              </w:rPr>
              <w:t>"), GAS-thirty</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1140" w:type="dxa"/>
            <w:vAlign w:val="bottom"/>
          </w:tcPr>
          <w:p>
            <w:pPr>
              <w:spacing w:after="0"/>
              <w:rPr>
                <w:sz w:val="12"/>
                <w:szCs w:val="12"/>
                <w:color w:val="auto"/>
              </w:rPr>
            </w:pPr>
          </w:p>
        </w:tc>
        <w:tc>
          <w:tcPr>
            <w:tcW w:w="3240" w:type="dxa"/>
            <w:vAlign w:val="bottom"/>
          </w:tcPr>
          <w:p>
            <w:pPr>
              <w:ind w:left="360"/>
              <w:spacing w:after="0"/>
              <w:rPr>
                <w:sz w:val="20"/>
                <w:szCs w:val="20"/>
                <w:color w:val="auto"/>
              </w:rPr>
            </w:pPr>
            <w:r>
              <w:rPr>
                <w:rFonts w:ascii="Arial" w:cs="Arial" w:eastAsia="Arial" w:hAnsi="Arial"/>
                <w:sz w:val="13"/>
                <w:szCs w:val="13"/>
                <w:color w:val="auto"/>
              </w:rPr>
              <w:t>Korea Development Bank and KB Kookmin Bank</w:t>
            </w:r>
          </w:p>
        </w:tc>
        <w:tc>
          <w:tcPr>
            <w:tcW w:w="4000" w:type="dxa"/>
            <w:vAlign w:val="bottom"/>
          </w:tcPr>
          <w:p>
            <w:pPr>
              <w:ind w:left="160"/>
              <w:spacing w:after="0"/>
              <w:rPr>
                <w:sz w:val="20"/>
                <w:szCs w:val="20"/>
                <w:color w:val="auto"/>
              </w:rPr>
            </w:pPr>
            <w:r>
              <w:rPr>
                <w:rFonts w:ascii="Arial" w:cs="Arial" w:eastAsia="Arial" w:hAnsi="Arial"/>
                <w:sz w:val="13"/>
                <w:szCs w:val="13"/>
                <w:color w:val="auto"/>
              </w:rPr>
              <w:t>four Ltd. and GAS-thirty</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2"/>
        </w:trPr>
        <w:tc>
          <w:tcPr>
            <w:tcW w:w="1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000" w:type="dxa"/>
            <w:vAlign w:val="bottom"/>
          </w:tcPr>
          <w:p>
            <w:pPr>
              <w:ind w:left="160"/>
              <w:spacing w:after="0"/>
              <w:rPr>
                <w:sz w:val="20"/>
                <w:szCs w:val="20"/>
                <w:color w:val="auto"/>
              </w:rPr>
            </w:pPr>
            <w:r>
              <w:rPr>
                <w:rFonts w:ascii="Arial" w:cs="Arial" w:eastAsia="Arial" w:hAnsi="Arial"/>
                <w:sz w:val="13"/>
                <w:szCs w:val="13"/>
                <w:color w:val="auto"/>
              </w:rPr>
              <w:t>five Ltd.</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GAS-twenty eight Ltd.: 12 consecutive semi-annual installments of $4.3 million, a balloon payment due in 2027 of $54.2 million and thereafter 10 consecutive semi-annual installments of</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$4.3 million until March 2032.</w:t>
      </w:r>
    </w:p>
    <w:p>
      <w:pPr>
        <w:spacing w:after="0" w:line="18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GAS-thirty Ltd.: 13 consecutive semi-annual installments of</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$4.2 million, a balloon payment due in 2027 of $53.1 million and thereafter 10 consecutive semi-annual installments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$4.2 million until July 2032.</w:t>
      </w:r>
    </w:p>
    <w:p>
      <w:pPr>
        <w:sectPr>
          <w:pgSz w:w="11900" w:h="16838" w:orient="portrait"/>
          <w:cols w:equalWidth="0" w:num="2">
            <w:col w:w="9720" w:space="180"/>
            <w:col w:w="1340"/>
          </w:cols>
          <w:pgMar w:left="320" w:top="131"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ind w:left="800"/>
              <w:spacing w:after="0"/>
              <w:rPr>
                <w:sz w:val="20"/>
                <w:szCs w:val="20"/>
                <w:color w:val="auto"/>
              </w:rPr>
            </w:pPr>
            <w:r>
              <w:rPr>
                <w:rFonts w:ascii="Arial" w:cs="Arial" w:eastAsia="Arial" w:hAnsi="Arial"/>
                <w:sz w:val="13"/>
                <w:szCs w:val="13"/>
                <w:b w:val="1"/>
                <w:bCs w:val="1"/>
                <w:color w:val="auto"/>
              </w:rPr>
              <w:t>Subsidiary Party</w:t>
            </w:r>
          </w:p>
        </w:tc>
      </w:tr>
      <w:tr>
        <w:trPr>
          <w:trHeight w:val="161"/>
        </w:trPr>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Facility Name</w:t>
            </w:r>
          </w:p>
        </w:tc>
        <w:tc>
          <w:tcPr>
            <w:tcW w:w="680" w:type="dxa"/>
            <w:vAlign w:val="bottom"/>
          </w:tcPr>
          <w:p>
            <w:pPr>
              <w:spacing w:after="0"/>
              <w:rPr>
                <w:sz w:val="14"/>
                <w:szCs w:val="14"/>
                <w:color w:val="auto"/>
              </w:rPr>
            </w:pPr>
          </w:p>
        </w:tc>
        <w:tc>
          <w:tcPr>
            <w:tcW w:w="2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Lender(s)</w:t>
            </w:r>
          </w:p>
        </w:tc>
        <w:tc>
          <w:tcPr>
            <w:tcW w:w="160" w:type="dxa"/>
            <w:vAlign w:val="bottom"/>
          </w:tcPr>
          <w:p>
            <w:pPr>
              <w:spacing w:after="0"/>
              <w:rPr>
                <w:sz w:val="14"/>
                <w:szCs w:val="14"/>
                <w:color w:val="auto"/>
              </w:rPr>
            </w:pPr>
          </w:p>
        </w:tc>
        <w:tc>
          <w:tcPr>
            <w:tcW w:w="258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(Collateral Ship)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480" w:val="left"/>
          <w:tab w:leader="none" w:pos="3740" w:val="left"/>
        </w:tabs>
        <w:rPr>
          <w:sz w:val="20"/>
          <w:szCs w:val="20"/>
          <w:color w:val="auto"/>
        </w:rPr>
      </w:pPr>
      <w:r>
        <w:rPr>
          <w:rFonts w:ascii="Arial" w:cs="Arial" w:eastAsia="Arial" w:hAnsi="Arial"/>
          <w:sz w:val="13"/>
          <w:szCs w:val="13"/>
          <w:color w:val="auto"/>
        </w:rPr>
        <w:t>GasLog Partners</w:t>
      </w:r>
      <w:r>
        <w:rPr>
          <w:sz w:val="20"/>
          <w:szCs w:val="20"/>
          <w:color w:val="auto"/>
        </w:rPr>
        <w:tab/>
      </w:r>
      <w:r>
        <w:rPr>
          <w:rFonts w:ascii="Arial" w:cs="Arial" w:eastAsia="Arial" w:hAnsi="Arial"/>
          <w:sz w:val="13"/>
          <w:szCs w:val="13"/>
          <w:color w:val="auto"/>
        </w:rPr>
        <w:t>BNP Paribas, Credit Suisse AG,</w:t>
      </w:r>
      <w:r>
        <w:rPr>
          <w:sz w:val="20"/>
          <w:szCs w:val="20"/>
          <w:color w:val="auto"/>
        </w:rPr>
        <w:tab/>
      </w:r>
      <w:r>
        <w:rPr>
          <w:rFonts w:ascii="Arial" w:cs="Arial" w:eastAsia="Arial" w:hAnsi="Arial"/>
          <w:sz w:val="12"/>
          <w:szCs w:val="12"/>
          <w:color w:val="auto"/>
        </w:rPr>
        <w:t>GAS-seven Ltd. (</w:t>
      </w:r>
      <w:r>
        <w:rPr>
          <w:rFonts w:ascii="Arial" w:cs="Arial" w:eastAsia="Arial" w:hAnsi="Arial"/>
          <w:sz w:val="12"/>
          <w:szCs w:val="12"/>
          <w:i w:val="1"/>
          <w:iCs w:val="1"/>
          <w:color w:val="auto"/>
        </w:rPr>
        <w:t>GasLog Seattle</w:t>
      </w:r>
      <w:r>
        <w:rPr>
          <w:rFonts w:ascii="Arial" w:cs="Arial" w:eastAsia="Arial" w:hAnsi="Arial"/>
          <w:sz w:val="12"/>
          <w:szCs w:val="12"/>
          <w:color w:val="auto"/>
        </w:rPr>
        <w:t>), GAS-</w:t>
      </w:r>
    </w:p>
    <w:p>
      <w:pPr>
        <w:spacing w:after="0" w:line="10" w:lineRule="exact"/>
        <w:rPr>
          <w:sz w:val="20"/>
          <w:szCs w:val="20"/>
          <w:color w:val="auto"/>
        </w:rPr>
      </w:pPr>
    </w:p>
    <w:p>
      <w:pPr>
        <w:ind w:left="140"/>
        <w:spacing w:after="0"/>
        <w:tabs>
          <w:tab w:leader="none" w:pos="1480" w:val="left"/>
          <w:tab w:leader="none" w:pos="3740" w:val="left"/>
        </w:tabs>
        <w:rPr>
          <w:sz w:val="20"/>
          <w:szCs w:val="20"/>
          <w:color w:val="auto"/>
        </w:rPr>
      </w:pPr>
      <w:r>
        <w:rPr>
          <w:rFonts w:ascii="Arial" w:cs="Arial" w:eastAsia="Arial" w:hAnsi="Arial"/>
          <w:sz w:val="13"/>
          <w:szCs w:val="13"/>
          <w:color w:val="auto"/>
        </w:rPr>
        <w:t>$260.3M Facility</w:t>
      </w:r>
      <w:r>
        <w:rPr>
          <w:sz w:val="20"/>
          <w:szCs w:val="20"/>
          <w:color w:val="auto"/>
        </w:rPr>
        <w:tab/>
      </w:r>
      <w:r>
        <w:rPr>
          <w:rFonts w:ascii="Arial" w:cs="Arial" w:eastAsia="Arial" w:hAnsi="Arial"/>
          <w:sz w:val="13"/>
          <w:szCs w:val="13"/>
          <w:color w:val="auto"/>
        </w:rPr>
        <w:t>Alpha Bank S.A. and Development</w:t>
      </w:r>
      <w:r>
        <w:rPr>
          <w:sz w:val="20"/>
          <w:szCs w:val="20"/>
          <w:color w:val="auto"/>
        </w:rPr>
        <w:tab/>
      </w:r>
      <w:r>
        <w:rPr>
          <w:rFonts w:ascii="Arial" w:cs="Arial" w:eastAsia="Arial" w:hAnsi="Arial"/>
          <w:sz w:val="12"/>
          <w:szCs w:val="12"/>
          <w:color w:val="auto"/>
        </w:rPr>
        <w:t>eight Ltd, (</w:t>
      </w:r>
      <w:r>
        <w:rPr>
          <w:rFonts w:ascii="Arial" w:cs="Arial" w:eastAsia="Arial" w:hAnsi="Arial"/>
          <w:sz w:val="12"/>
          <w:szCs w:val="12"/>
          <w:i w:val="1"/>
          <w:iCs w:val="1"/>
          <w:color w:val="auto"/>
        </w:rPr>
        <w:t>Solaris</w:t>
      </w:r>
      <w:r>
        <w:rPr>
          <w:rFonts w:ascii="Arial" w:cs="Arial" w:eastAsia="Arial" w:hAnsi="Arial"/>
          <w:sz w:val="12"/>
          <w:szCs w:val="12"/>
          <w:color w:val="auto"/>
        </w:rPr>
        <w:t>), GAS-twenty Ltd.</w:t>
      </w:r>
    </w:p>
    <w:p>
      <w:pPr>
        <w:ind w:left="1500"/>
        <w:spacing w:after="0"/>
        <w:tabs>
          <w:tab w:leader="none" w:pos="3740" w:val="left"/>
        </w:tabs>
        <w:rPr>
          <w:sz w:val="20"/>
          <w:szCs w:val="20"/>
          <w:color w:val="auto"/>
        </w:rPr>
      </w:pPr>
      <w:r>
        <w:rPr>
          <w:rFonts w:ascii="Arial" w:cs="Arial" w:eastAsia="Arial" w:hAnsi="Arial"/>
          <w:sz w:val="13"/>
          <w:szCs w:val="13"/>
          <w:color w:val="auto"/>
        </w:rPr>
        <w:t>Bank of Japan, Inc</w:t>
      </w:r>
      <w:r>
        <w:rPr>
          <w:sz w:val="20"/>
          <w:szCs w:val="20"/>
          <w:color w:val="auto"/>
        </w:rPr>
        <w:tab/>
      </w:r>
      <w:r>
        <w:rPr>
          <w:rFonts w:ascii="Arial" w:cs="Arial" w:eastAsia="Arial" w:hAnsi="Arial"/>
          <w:sz w:val="12"/>
          <w:szCs w:val="12"/>
          <w:color w:val="auto"/>
        </w:rPr>
        <w:t>(</w:t>
      </w:r>
      <w:r>
        <w:rPr>
          <w:rFonts w:ascii="Arial" w:cs="Arial" w:eastAsia="Arial" w:hAnsi="Arial"/>
          <w:sz w:val="12"/>
          <w:szCs w:val="12"/>
          <w:i w:val="1"/>
          <w:iCs w:val="1"/>
          <w:color w:val="auto"/>
        </w:rPr>
        <w:t>Methane Shirley Elisabeth</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8"/>
        </w:trPr>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9"/>
        </w:trPr>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1" w:lineRule="exact"/>
              <w:rPr>
                <w:sz w:val="20"/>
                <w:szCs w:val="20"/>
                <w:color w:val="auto"/>
              </w:rPr>
            </w:pPr>
            <w:r>
              <w:rPr>
                <w:rFonts w:ascii="Arial" w:cs="Arial" w:eastAsia="Arial" w:hAnsi="Arial"/>
                <w:sz w:val="13"/>
                <w:szCs w:val="13"/>
                <w:color w:val="auto"/>
                <w:w w:val="99"/>
              </w:rPr>
              <w:t>GAS-thirty one Ltd.: 12</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$4.2 million, a balloon</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2027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$53.1 million and</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thereafter 10</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$4.2 million until May</w:t>
            </w:r>
          </w:p>
        </w:tc>
      </w:tr>
      <w:tr>
        <w:trPr>
          <w:trHeight w:val="172"/>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2032.</w:t>
            </w:r>
          </w:p>
        </w:tc>
      </w:tr>
      <w:tr>
        <w:trPr>
          <w:trHeight w:val="341"/>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GAS-thirty two Ltd.: 13</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$4.1 million, a balloon</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2027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$52.6 million and</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thereafter 10</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$4.1 million until</w:t>
            </w:r>
          </w:p>
        </w:tc>
      </w:tr>
      <w:tr>
        <w:trPr>
          <w:trHeight w:val="172"/>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November 2032.</w:t>
            </w:r>
          </w:p>
        </w:tc>
      </w:tr>
      <w:tr>
        <w:trPr>
          <w:trHeight w:val="341"/>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GAS-thirty three Ltd.:</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13 consecutive semi-</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annual 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$4.1 million, a balloon</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7"/>
              </w:rPr>
              <w:t>payment due in 2027 of</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$52.6 million and</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thereafter 10</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2"/>
              </w:rPr>
              <w:t>consecutive semi-annual</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$4.1 million until</w:t>
            </w:r>
          </w:p>
        </w:tc>
      </w:tr>
      <w:tr>
        <w:trPr>
          <w:trHeight w:val="172"/>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December 2032.</w:t>
            </w:r>
          </w:p>
        </w:tc>
      </w:tr>
      <w:tr>
        <w:trPr>
          <w:trHeight w:val="273"/>
        </w:trPr>
        <w:tc>
          <w:tcPr>
            <w:tcW w:w="800" w:type="dxa"/>
            <w:vAlign w:val="bottom"/>
          </w:tcPr>
          <w:p>
            <w:pPr>
              <w:jc w:val="center"/>
              <w:spacing w:after="0"/>
              <w:rPr>
                <w:sz w:val="20"/>
                <w:szCs w:val="20"/>
                <w:color w:val="auto"/>
              </w:rPr>
            </w:pPr>
            <w:r>
              <w:rPr>
                <w:rFonts w:ascii="Arial" w:cs="Arial" w:eastAsia="Arial" w:hAnsi="Arial"/>
                <w:sz w:val="13"/>
                <w:szCs w:val="13"/>
                <w:color w:val="auto"/>
                <w:w w:val="99"/>
              </w:rPr>
              <w:t>$260.3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right"/>
              <w:ind w:right="53"/>
              <w:spacing w:after="0"/>
              <w:rPr>
                <w:sz w:val="20"/>
                <w:szCs w:val="20"/>
                <w:color w:val="auto"/>
              </w:rPr>
            </w:pPr>
            <w:r>
              <w:rPr>
                <w:rFonts w:ascii="Arial" w:cs="Arial" w:eastAsia="Arial" w:hAnsi="Arial"/>
                <w:sz w:val="13"/>
                <w:szCs w:val="13"/>
                <w:color w:val="auto"/>
              </w:rPr>
              <w:t>2025</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10 equal semi-annual</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instalments of</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$8.6 million beginning</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8"/>
              </w:rPr>
              <w:t>in January 2021, with a</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final balloon amount of</w:t>
            </w:r>
          </w:p>
        </w:tc>
      </w:tr>
      <w:tr>
        <w:trPr>
          <w:trHeight w:val="149"/>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$174.4 million payable</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concurrently with the</w:t>
            </w:r>
          </w:p>
        </w:tc>
      </w:tr>
      <w:tr>
        <w:trPr>
          <w:trHeight w:val="148"/>
        </w:trPr>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last installment in July</w:t>
            </w:r>
          </w:p>
        </w:tc>
      </w:tr>
      <w:tr>
        <w:trPr>
          <w:trHeight w:val="172"/>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2025.</w:t>
            </w:r>
          </w:p>
        </w:tc>
      </w:tr>
    </w:tbl>
    <w:p>
      <w:pPr>
        <w:spacing w:after="0" w:line="195" w:lineRule="exact"/>
        <w:rPr>
          <w:sz w:val="20"/>
          <w:szCs w:val="20"/>
          <w:color w:val="auto"/>
        </w:rPr>
      </w:pPr>
    </w:p>
    <w:p>
      <w:pPr>
        <w:sectPr>
          <w:pgSz w:w="11900" w:h="16838" w:orient="portrait"/>
          <w:cols w:equalWidth="0" w:num="2">
            <w:col w:w="6340" w:space="160"/>
            <w:col w:w="4740"/>
          </w:cols>
          <w:pgMar w:left="320" w:top="131"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4" w:name="page105"/>
    <w:bookmarkEnd w:id="10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w w:val="94"/>
              </w:rPr>
              <w:t>Lender(s)</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81"/>
              </w:rPr>
              <w:t>GasLog Partners</w:t>
            </w:r>
          </w:p>
        </w:tc>
        <w:tc>
          <w:tcPr>
            <w:tcW w:w="680" w:type="dxa"/>
            <w:vAlign w:val="bottom"/>
          </w:tcPr>
          <w:p>
            <w:pPr>
              <w:spacing w:after="0"/>
              <w:rPr>
                <w:sz w:val="11"/>
                <w:szCs w:val="11"/>
                <w:color w:val="auto"/>
              </w:rPr>
            </w:pPr>
          </w:p>
        </w:tc>
        <w:tc>
          <w:tcPr>
            <w:tcW w:w="2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8"/>
              </w:rPr>
              <w:t>DNB Bank ASA and ING Bank N.V.</w:t>
            </w:r>
          </w:p>
        </w:tc>
      </w:tr>
      <w:tr>
        <w:trPr>
          <w:trHeight w:val="172"/>
        </w:trPr>
        <w:tc>
          <w:tcPr>
            <w:tcW w:w="1500" w:type="dxa"/>
            <w:vAlign w:val="bottom"/>
            <w:gridSpan w:val="2"/>
          </w:tcPr>
          <w:p>
            <w:pPr>
              <w:ind w:left="140"/>
              <w:spacing w:after="0"/>
              <w:rPr>
                <w:sz w:val="20"/>
                <w:szCs w:val="20"/>
                <w:color w:val="auto"/>
              </w:rPr>
            </w:pPr>
            <w:r>
              <w:rPr>
                <w:rFonts w:ascii="Arial" w:cs="Arial" w:eastAsia="Arial" w:hAnsi="Arial"/>
                <w:sz w:val="13"/>
                <w:szCs w:val="13"/>
                <w:color w:val="auto"/>
              </w:rPr>
              <w:t>$193.7M Facility</w:t>
            </w:r>
          </w:p>
        </w:tc>
        <w:tc>
          <w:tcPr>
            <w:tcW w:w="2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color w:val="auto"/>
        </w:rPr>
        <w:t>GasLog $576.9M</w:t>
      </w:r>
      <w:r>
        <w:rPr>
          <w:sz w:val="20"/>
          <w:szCs w:val="20"/>
          <w:color w:val="auto"/>
        </w:rPr>
        <w:tab/>
      </w:r>
      <w:r>
        <w:rPr>
          <w:rFonts w:ascii="Arial" w:cs="Arial" w:eastAsia="Arial" w:hAnsi="Arial"/>
          <w:sz w:val="13"/>
          <w:szCs w:val="13"/>
          <w:color w:val="auto"/>
        </w:rPr>
        <w:t>ABN AMRO Bank N.V., Citigroup</w:t>
      </w:r>
    </w:p>
    <w:p>
      <w:pPr>
        <w:spacing w:after="0" w:line="10"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3"/>
          <w:szCs w:val="13"/>
          <w:color w:val="auto"/>
        </w:rPr>
        <w:t>Facility</w:t>
      </w:r>
      <w:r>
        <w:rPr>
          <w:sz w:val="20"/>
          <w:szCs w:val="20"/>
          <w:color w:val="auto"/>
        </w:rPr>
        <w:tab/>
      </w:r>
      <w:r>
        <w:rPr>
          <w:rFonts w:ascii="Arial" w:cs="Arial" w:eastAsia="Arial" w:hAnsi="Arial"/>
          <w:sz w:val="13"/>
          <w:szCs w:val="13"/>
          <w:color w:val="auto"/>
        </w:rPr>
        <w:t>Global Markets Limited, Nordea,</w:t>
      </w:r>
    </w:p>
    <w:p>
      <w:pPr>
        <w:ind w:left="1500" w:right="60"/>
        <w:spacing w:after="0" w:line="247" w:lineRule="auto"/>
        <w:rPr>
          <w:sz w:val="20"/>
          <w:szCs w:val="20"/>
          <w:color w:val="auto"/>
        </w:rPr>
      </w:pPr>
      <w:r>
        <w:rPr>
          <w:rFonts w:ascii="Arial" w:cs="Arial" w:eastAsia="Arial" w:hAnsi="Arial"/>
          <w:sz w:val="13"/>
          <w:szCs w:val="13"/>
          <w:color w:val="auto"/>
        </w:rPr>
        <w:t>HSBC Bank plc, Credit Agricole Corporate and Investment Bank and Unicredit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color w:val="auto"/>
        </w:rPr>
        <w:t>GasLog Chelsea</w:t>
      </w:r>
      <w:r>
        <w:rPr>
          <w:sz w:val="20"/>
          <w:szCs w:val="20"/>
          <w:color w:val="auto"/>
        </w:rPr>
        <w:tab/>
      </w:r>
      <w:r>
        <w:rPr>
          <w:rFonts w:ascii="Arial" w:cs="Arial" w:eastAsia="Arial" w:hAnsi="Arial"/>
          <w:sz w:val="12"/>
          <w:szCs w:val="12"/>
          <w:color w:val="auto"/>
        </w:rPr>
        <w:t>National Bank of Greece S.A.</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$96.8M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480" w:val="left"/>
        </w:tabs>
        <w:rPr>
          <w:sz w:val="20"/>
          <w:szCs w:val="20"/>
          <w:color w:val="auto"/>
        </w:rPr>
      </w:pPr>
      <w:r>
        <w:rPr>
          <w:rFonts w:ascii="Arial" w:cs="Arial" w:eastAsia="Arial" w:hAnsi="Arial"/>
          <w:sz w:val="13"/>
          <w:szCs w:val="13"/>
          <w:color w:val="auto"/>
        </w:rPr>
        <w:t>GasLog Hong Kong</w:t>
      </w:r>
      <w:r>
        <w:rPr>
          <w:sz w:val="20"/>
          <w:szCs w:val="20"/>
          <w:color w:val="auto"/>
        </w:rPr>
        <w:tab/>
      </w:r>
      <w:r>
        <w:rPr>
          <w:rFonts w:ascii="Arial" w:cs="Arial" w:eastAsia="Arial" w:hAnsi="Arial"/>
          <w:sz w:val="12"/>
          <w:szCs w:val="12"/>
          <w:color w:val="auto"/>
        </w:rPr>
        <w:t>CMB Financial Leasing Co. Ltd.</w:t>
      </w:r>
    </w:p>
    <w:p>
      <w:pPr>
        <w:spacing w:after="0" w:line="10"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3"/>
          <w:szCs w:val="13"/>
          <w:color w:val="auto"/>
        </w:rPr>
        <w:t>Sale and leaseback</w:t>
      </w:r>
      <w:r>
        <w:rPr>
          <w:sz w:val="20"/>
          <w:szCs w:val="20"/>
          <w:color w:val="auto"/>
        </w:rPr>
        <w:tab/>
      </w:r>
      <w:r>
        <w:rPr>
          <w:rFonts w:ascii="Arial" w:cs="Arial" w:eastAsia="Arial" w:hAnsi="Arial"/>
          <w:sz w:val="13"/>
          <w:szCs w:val="13"/>
          <w:color w:val="auto"/>
        </w:rPr>
        <w:t>("CMBFL")</w:t>
      </w:r>
    </w:p>
    <w:p>
      <w:pPr>
        <w:ind w:left="140"/>
        <w:spacing w:after="0"/>
        <w:rPr>
          <w:sz w:val="20"/>
          <w:szCs w:val="20"/>
          <w:color w:val="auto"/>
        </w:rPr>
      </w:pPr>
      <w:r>
        <w:rPr>
          <w:rFonts w:ascii="Arial" w:cs="Arial" w:eastAsia="Arial" w:hAnsi="Arial"/>
          <w:sz w:val="13"/>
          <w:szCs w:val="13"/>
          <w:color w:val="auto"/>
        </w:rPr>
        <w:t>transaction ("GasLog</w:t>
      </w:r>
    </w:p>
    <w:p>
      <w:pPr>
        <w:ind w:left="140"/>
        <w:spacing w:after="0"/>
        <w:rPr>
          <w:sz w:val="20"/>
          <w:szCs w:val="20"/>
          <w:color w:val="auto"/>
        </w:rPr>
      </w:pPr>
      <w:r>
        <w:rPr>
          <w:rFonts w:ascii="Arial" w:cs="Arial" w:eastAsia="Arial" w:hAnsi="Arial"/>
          <w:sz w:val="13"/>
          <w:szCs w:val="13"/>
          <w:color w:val="auto"/>
        </w:rPr>
        <w:t>Hong Kong SLB")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8688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Subsidiary Party</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(Collateral 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6884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ind w:right="60"/>
        <w:spacing w:after="0" w:line="279" w:lineRule="auto"/>
        <w:rPr>
          <w:sz w:val="20"/>
          <w:szCs w:val="20"/>
          <w:color w:val="auto"/>
        </w:rPr>
      </w:pPr>
      <w:r>
        <w:rPr>
          <w:rFonts w:ascii="Arial" w:cs="Arial" w:eastAsia="Arial" w:hAnsi="Arial"/>
          <w:sz w:val="12"/>
          <w:szCs w:val="12"/>
          <w:color w:val="auto"/>
        </w:rPr>
        <w:t>GAS-nineteen Ltd. (</w:t>
      </w:r>
      <w:r>
        <w:rPr>
          <w:rFonts w:ascii="Arial" w:cs="Arial" w:eastAsia="Arial" w:hAnsi="Arial"/>
          <w:sz w:val="12"/>
          <w:szCs w:val="12"/>
          <w:i w:val="1"/>
          <w:iCs w:val="1"/>
          <w:color w:val="auto"/>
        </w:rPr>
        <w:t>Methane Alison Victoria</w:t>
      </w:r>
      <w:r>
        <w:rPr>
          <w:rFonts w:ascii="Arial" w:cs="Arial" w:eastAsia="Arial" w:hAnsi="Arial"/>
          <w:sz w:val="12"/>
          <w:szCs w:val="12"/>
          <w:color w:val="auto"/>
        </w:rPr>
        <w:t>), GAS-twenty one Ltd. (</w:t>
      </w:r>
      <w:r>
        <w:rPr>
          <w:rFonts w:ascii="Arial" w:cs="Arial" w:eastAsia="Arial" w:hAnsi="Arial"/>
          <w:sz w:val="12"/>
          <w:szCs w:val="12"/>
          <w:i w:val="1"/>
          <w:iCs w:val="1"/>
          <w:color w:val="auto"/>
        </w:rPr>
        <w:t>Methane Heather Sally</w:t>
      </w:r>
      <w:r>
        <w:rPr>
          <w:rFonts w:ascii="Arial" w:cs="Arial" w:eastAsia="Arial" w:hAnsi="Arial"/>
          <w:sz w:val="12"/>
          <w:szCs w:val="12"/>
          <w:color w:val="auto"/>
        </w:rPr>
        <w:t>), GAS-twenty seven Ltd. (</w:t>
      </w:r>
      <w:r>
        <w:rPr>
          <w:rFonts w:ascii="Arial" w:cs="Arial" w:eastAsia="Arial" w:hAnsi="Arial"/>
          <w:sz w:val="12"/>
          <w:szCs w:val="12"/>
          <w:i w:val="1"/>
          <w:iCs w:val="1"/>
          <w:color w:val="auto"/>
        </w:rPr>
        <w:t>Methane Becki Anne</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GAS-one Ltd (</w:t>
      </w:r>
      <w:r>
        <w:rPr>
          <w:rFonts w:ascii="Arial" w:cs="Arial" w:eastAsia="Arial" w:hAnsi="Arial"/>
          <w:sz w:val="13"/>
          <w:szCs w:val="13"/>
          <w:i w:val="1"/>
          <w:iCs w:val="1"/>
          <w:color w:val="auto"/>
        </w:rPr>
        <w:t>GasLog Savannah</w:t>
      </w:r>
      <w:r>
        <w:rPr>
          <w:rFonts w:ascii="Arial" w:cs="Arial" w:eastAsia="Arial" w:hAnsi="Arial"/>
          <w:sz w:val="13"/>
          <w:szCs w:val="13"/>
          <w:color w:val="auto"/>
        </w:rPr>
        <w:t>), GAS-two Ltd. (</w:t>
      </w:r>
      <w:r>
        <w:rPr>
          <w:rFonts w:ascii="Arial" w:cs="Arial" w:eastAsia="Arial" w:hAnsi="Arial"/>
          <w:sz w:val="13"/>
          <w:szCs w:val="13"/>
          <w:i w:val="1"/>
          <w:iCs w:val="1"/>
          <w:color w:val="auto"/>
        </w:rPr>
        <w:t>GasLog Singapore</w:t>
      </w:r>
      <w:r>
        <w:rPr>
          <w:rFonts w:ascii="Arial" w:cs="Arial" w:eastAsia="Arial" w:hAnsi="Arial"/>
          <w:sz w:val="13"/>
          <w:szCs w:val="13"/>
          <w:color w:val="auto"/>
        </w:rPr>
        <w:t>), GAS-six Ltd. (</w:t>
      </w:r>
      <w:r>
        <w:rPr>
          <w:rFonts w:ascii="Arial" w:cs="Arial" w:eastAsia="Arial" w:hAnsi="Arial"/>
          <w:sz w:val="13"/>
          <w:szCs w:val="13"/>
          <w:i w:val="1"/>
          <w:iCs w:val="1"/>
          <w:color w:val="auto"/>
        </w:rPr>
        <w:t>GasLog Skagen</w:t>
      </w:r>
      <w:r>
        <w:rPr>
          <w:rFonts w:ascii="Arial" w:cs="Arial" w:eastAsia="Arial" w:hAnsi="Arial"/>
          <w:sz w:val="13"/>
          <w:szCs w:val="13"/>
          <w:color w:val="auto"/>
        </w:rPr>
        <w:t>), GAS-nine Ltd.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Saratoga</w:t>
      </w:r>
      <w:r>
        <w:rPr>
          <w:rFonts w:ascii="Arial" w:cs="Arial" w:eastAsia="Arial" w:hAnsi="Arial"/>
          <w:sz w:val="13"/>
          <w:szCs w:val="13"/>
          <w:color w:val="auto"/>
        </w:rPr>
        <w:t>), GAS-ten Ltd. (G</w:t>
      </w:r>
      <w:r>
        <w:rPr>
          <w:rFonts w:ascii="Arial" w:cs="Arial" w:eastAsia="Arial" w:hAnsi="Arial"/>
          <w:sz w:val="13"/>
          <w:szCs w:val="13"/>
          <w:i w:val="1"/>
          <w:iCs w:val="1"/>
          <w:color w:val="auto"/>
        </w:rPr>
        <w:t>asLog Salem</w:t>
      </w:r>
      <w:r>
        <w:rPr>
          <w:rFonts w:ascii="Arial" w:cs="Arial" w:eastAsia="Arial" w:hAnsi="Arial"/>
          <w:sz w:val="13"/>
          <w:szCs w:val="13"/>
          <w:color w:val="auto"/>
        </w:rPr>
        <w:t>), GAS-eighteen Ltd. (</w:t>
      </w:r>
      <w:r>
        <w:rPr>
          <w:rFonts w:ascii="Arial" w:cs="Arial" w:eastAsia="Arial" w:hAnsi="Arial"/>
          <w:sz w:val="13"/>
          <w:szCs w:val="13"/>
          <w:i w:val="1"/>
          <w:iCs w:val="1"/>
          <w:color w:val="auto"/>
        </w:rPr>
        <w:t>Methane Lydon Volney</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GAS-fifteen Ltd. (</w:t>
      </w:r>
      <w:r>
        <w:rPr>
          <w:rFonts w:ascii="Arial" w:cs="Arial" w:eastAsia="Arial" w:hAnsi="Arial"/>
          <w:sz w:val="13"/>
          <w:szCs w:val="13"/>
          <w:i w:val="1"/>
          <w:iCs w:val="1"/>
          <w:color w:val="auto"/>
        </w:rPr>
        <w:t>GasLog Chelsea</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auto"/>
        </w:rPr>
        <w:t>GAS-twenty five Ltd. (</w:t>
      </w:r>
      <w:r>
        <w:rPr>
          <w:rFonts w:ascii="Arial" w:cs="Arial" w:eastAsia="Arial" w:hAnsi="Arial"/>
          <w:sz w:val="13"/>
          <w:szCs w:val="13"/>
          <w:i w:val="1"/>
          <w:iCs w:val="1"/>
          <w:color w:val="auto"/>
        </w:rPr>
        <w:t>GasLog Hong Kong</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Payment of</w:t>
            </w:r>
          </w:p>
        </w:tc>
      </w:tr>
      <w:tr>
        <w:trPr>
          <w:trHeight w:val="148"/>
        </w:trPr>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Principals</w:t>
            </w:r>
          </w:p>
        </w:tc>
      </w:tr>
      <w:tr>
        <w:trPr>
          <w:trHeight w:val="149"/>
        </w:trPr>
        <w:tc>
          <w:tcPr>
            <w:tcW w:w="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Installments</w:t>
            </w:r>
          </w:p>
        </w:tc>
      </w:tr>
      <w:tr>
        <w:trPr>
          <w:trHeight w:val="161"/>
        </w:trPr>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Arial" w:cs="Arial" w:eastAsia="Arial" w:hAnsi="Arial"/>
                <w:sz w:val="13"/>
                <w:szCs w:val="13"/>
                <w:color w:val="auto"/>
                <w:w w:val="97"/>
              </w:rPr>
              <w:t>$193.7 million</w:t>
            </w:r>
          </w:p>
        </w:tc>
        <w:tc>
          <w:tcPr>
            <w:tcW w:w="160" w:type="dxa"/>
            <w:vAlign w:val="bottom"/>
          </w:tcPr>
          <w:p>
            <w:pPr>
              <w:spacing w:after="0"/>
              <w:rPr>
                <w:sz w:val="11"/>
                <w:szCs w:val="11"/>
                <w:color w:val="auto"/>
              </w:rPr>
            </w:pPr>
          </w:p>
        </w:tc>
        <w:tc>
          <w:tcPr>
            <w:tcW w:w="860" w:type="dxa"/>
            <w:vAlign w:val="bottom"/>
          </w:tcPr>
          <w:p>
            <w:pPr>
              <w:spacing w:after="0" w:line="131"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3"/>
                <w:szCs w:val="13"/>
                <w:color w:val="auto"/>
              </w:rPr>
              <w:t>LIBOR +</w:t>
            </w:r>
          </w:p>
        </w:tc>
        <w:tc>
          <w:tcPr>
            <w:tcW w:w="16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Arial" w:cs="Arial" w:eastAsia="Arial" w:hAnsi="Arial"/>
                <w:sz w:val="13"/>
                <w:szCs w:val="13"/>
                <w:color w:val="auto"/>
                <w:w w:val="96"/>
              </w:rPr>
              <w:t>2025</w:t>
            </w:r>
          </w:p>
        </w:tc>
        <w:tc>
          <w:tcPr>
            <w:tcW w:w="160" w:type="dxa"/>
            <w:vAlign w:val="bottom"/>
          </w:tcPr>
          <w:p>
            <w:pPr>
              <w:spacing w:after="0"/>
              <w:rPr>
                <w:sz w:val="11"/>
                <w:szCs w:val="11"/>
                <w:color w:val="auto"/>
              </w:rPr>
            </w:pPr>
          </w:p>
        </w:tc>
        <w:tc>
          <w:tcPr>
            <w:tcW w:w="1340" w:type="dxa"/>
            <w:vAlign w:val="bottom"/>
          </w:tcPr>
          <w:p>
            <w:pPr>
              <w:spacing w:after="0" w:line="131" w:lineRule="exact"/>
              <w:rPr>
                <w:sz w:val="20"/>
                <w:szCs w:val="20"/>
                <w:color w:val="auto"/>
              </w:rPr>
            </w:pPr>
            <w:r>
              <w:rPr>
                <w:rFonts w:ascii="Arial" w:cs="Arial" w:eastAsia="Arial" w:hAnsi="Arial"/>
                <w:sz w:val="13"/>
                <w:szCs w:val="13"/>
                <w:color w:val="auto"/>
              </w:rPr>
              <w:t>10 equal semi-annual</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instalments of</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$8.6 million beginning</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8"/>
              </w:rPr>
              <w:t>in January 2021, with a</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final balloon amount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$107.7 million payable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concurrently with the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last installment in July</w:t>
            </w: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2025.</w:t>
            </w:r>
          </w:p>
        </w:tc>
      </w:tr>
      <w:tr>
        <w:trPr>
          <w:trHeight w:val="273"/>
        </w:trPr>
        <w:tc>
          <w:tcPr>
            <w:tcW w:w="800" w:type="dxa"/>
            <w:vAlign w:val="bottom"/>
            <w:gridSpan w:val="2"/>
          </w:tcPr>
          <w:p>
            <w:pPr>
              <w:jc w:val="center"/>
              <w:spacing w:after="0"/>
              <w:rPr>
                <w:sz w:val="20"/>
                <w:szCs w:val="20"/>
                <w:color w:val="auto"/>
              </w:rPr>
            </w:pPr>
            <w:r>
              <w:rPr>
                <w:rFonts w:ascii="Arial" w:cs="Arial" w:eastAsia="Arial" w:hAnsi="Arial"/>
                <w:sz w:val="13"/>
                <w:szCs w:val="13"/>
                <w:color w:val="auto"/>
                <w:w w:val="99"/>
              </w:rPr>
              <w:t>$576.9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2025</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Term Loan Facility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$494.5 million will</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9"/>
              </w:rPr>
              <w:t>amortize over 18 equal</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8"/>
              </w:rPr>
              <w:t>quarterly instalments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$9.3 million beginning</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 April 2021 (following</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an initial repayment in</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January 2021 in the</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amount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$18.7 million), with a</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final balloon amount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$307.5 million payable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concurrently with the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last installment in June</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2025. Revolving loan</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facility of $82.4 million</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also matures in June</w:t>
            </w: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2025.</w:t>
            </w:r>
          </w:p>
        </w:tc>
      </w:tr>
      <w:tr>
        <w:trPr>
          <w:trHeight w:val="273"/>
        </w:trPr>
        <w:tc>
          <w:tcPr>
            <w:tcW w:w="800" w:type="dxa"/>
            <w:vAlign w:val="bottom"/>
            <w:gridSpan w:val="2"/>
          </w:tcPr>
          <w:p>
            <w:pPr>
              <w:spacing w:after="0"/>
              <w:rPr>
                <w:sz w:val="20"/>
                <w:szCs w:val="20"/>
                <w:color w:val="auto"/>
              </w:rPr>
            </w:pPr>
            <w:r>
              <w:rPr>
                <w:rFonts w:ascii="Arial" w:cs="Arial" w:eastAsia="Arial" w:hAnsi="Arial"/>
                <w:sz w:val="13"/>
                <w:szCs w:val="13"/>
                <w:color w:val="auto"/>
              </w:rPr>
              <w:t>$94.9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2025</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19 equal quarterly</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instalments of</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$1.9 million beginning</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w w:val="98"/>
              </w:rPr>
              <w:t>in October 2020, with a</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final balloon amount of</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$59.0 million payable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concurrently with the</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last instalment in July</w:t>
            </w: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2025.</w:t>
            </w:r>
          </w:p>
        </w:tc>
      </w:tr>
      <w:tr>
        <w:trPr>
          <w:trHeight w:val="273"/>
        </w:trPr>
        <w:tc>
          <w:tcPr>
            <w:tcW w:w="800" w:type="dxa"/>
            <w:vAlign w:val="bottom"/>
            <w:gridSpan w:val="2"/>
          </w:tcPr>
          <w:p>
            <w:pPr>
              <w:jc w:val="center"/>
              <w:spacing w:after="0"/>
              <w:rPr>
                <w:sz w:val="20"/>
                <w:szCs w:val="20"/>
                <w:color w:val="auto"/>
              </w:rPr>
            </w:pPr>
            <w:r>
              <w:rPr>
                <w:rFonts w:ascii="Arial" w:cs="Arial" w:eastAsia="Arial" w:hAnsi="Arial"/>
                <w:sz w:val="13"/>
                <w:szCs w:val="13"/>
                <w:color w:val="auto"/>
                <w:w w:val="99"/>
              </w:rPr>
              <w:t>$163.4 million</w:t>
            </w:r>
          </w:p>
        </w:tc>
        <w:tc>
          <w:tcPr>
            <w:tcW w:w="16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N/A</w:t>
            </w:r>
          </w:p>
        </w:tc>
        <w:tc>
          <w:tcPr>
            <w:tcW w:w="16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LIBOR +</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2032</w:t>
            </w: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20 equal quarterly</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w w:val="95"/>
              </w:rPr>
              <w:t>applicable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instalments of</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$2.7 million beginning</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 January 2021, 28</w:t>
            </w:r>
          </w:p>
        </w:tc>
      </w:tr>
      <w:tr>
        <w:trPr>
          <w:trHeight w:val="148"/>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equal quarterly</w:t>
            </w: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Arial" w:cs="Arial" w:eastAsia="Arial" w:hAnsi="Arial"/>
                <w:sz w:val="13"/>
                <w:szCs w:val="13"/>
                <w:color w:val="auto"/>
              </w:rPr>
              <w:t>instalments of</w:t>
            </w:r>
          </w:p>
        </w:tc>
      </w:tr>
    </w:tbl>
    <w:p>
      <w:pPr>
        <w:ind w:left="3400"/>
        <w:spacing w:after="0"/>
        <w:rPr>
          <w:sz w:val="20"/>
          <w:szCs w:val="20"/>
          <w:color w:val="auto"/>
        </w:rPr>
      </w:pPr>
      <w:r>
        <w:rPr>
          <w:rFonts w:ascii="Arial" w:cs="Arial" w:eastAsia="Arial" w:hAnsi="Arial"/>
          <w:sz w:val="13"/>
          <w:szCs w:val="13"/>
          <w:color w:val="auto"/>
        </w:rPr>
        <w:t>$1.4 million beginning</w:t>
      </w:r>
    </w:p>
    <w:p>
      <w:pPr>
        <w:ind w:left="3400"/>
        <w:spacing w:after="0"/>
        <w:rPr>
          <w:sz w:val="20"/>
          <w:szCs w:val="20"/>
          <w:color w:val="auto"/>
        </w:rPr>
      </w:pPr>
      <w:r>
        <w:rPr>
          <w:rFonts w:ascii="Arial" w:cs="Arial" w:eastAsia="Arial" w:hAnsi="Arial"/>
          <w:sz w:val="13"/>
          <w:szCs w:val="13"/>
          <w:color w:val="auto"/>
        </w:rPr>
        <w:t>in January 2026, with a</w:t>
      </w:r>
    </w:p>
    <w:p>
      <w:pPr>
        <w:ind w:left="3400"/>
        <w:spacing w:after="0"/>
        <w:rPr>
          <w:sz w:val="20"/>
          <w:szCs w:val="20"/>
          <w:color w:val="auto"/>
        </w:rPr>
      </w:pPr>
      <w:r>
        <w:rPr>
          <w:rFonts w:ascii="Arial" w:cs="Arial" w:eastAsia="Arial" w:hAnsi="Arial"/>
          <w:sz w:val="13"/>
          <w:szCs w:val="13"/>
          <w:color w:val="auto"/>
        </w:rPr>
        <w:t>final balloon amount</w:t>
      </w:r>
    </w:p>
    <w:p>
      <w:pPr>
        <w:ind w:left="3400"/>
        <w:spacing w:after="0"/>
        <w:rPr>
          <w:sz w:val="20"/>
          <w:szCs w:val="20"/>
          <w:color w:val="auto"/>
        </w:rPr>
      </w:pPr>
      <w:r>
        <w:rPr>
          <w:rFonts w:ascii="Arial" w:cs="Arial" w:eastAsia="Arial" w:hAnsi="Arial"/>
          <w:sz w:val="13"/>
          <w:szCs w:val="13"/>
          <w:color w:val="auto"/>
        </w:rPr>
        <w:t>$70.0 million</w:t>
      </w:r>
    </w:p>
    <w:p>
      <w:pPr>
        <w:ind w:left="3400"/>
        <w:spacing w:after="0"/>
        <w:rPr>
          <w:sz w:val="20"/>
          <w:szCs w:val="20"/>
          <w:color w:val="auto"/>
        </w:rPr>
      </w:pPr>
      <w:r>
        <w:rPr>
          <w:rFonts w:ascii="Arial" w:cs="Arial" w:eastAsia="Arial" w:hAnsi="Arial"/>
          <w:sz w:val="13"/>
          <w:szCs w:val="13"/>
          <w:color w:val="auto"/>
        </w:rPr>
        <w:t>concurrently with the</w:t>
      </w:r>
    </w:p>
    <w:p>
      <w:pPr>
        <w:ind w:left="3400"/>
        <w:spacing w:after="0"/>
        <w:rPr>
          <w:sz w:val="20"/>
          <w:szCs w:val="20"/>
          <w:color w:val="auto"/>
        </w:rPr>
      </w:pPr>
      <w:r>
        <w:rPr>
          <w:rFonts w:ascii="Arial" w:cs="Arial" w:eastAsia="Arial" w:hAnsi="Arial"/>
          <w:sz w:val="13"/>
          <w:szCs w:val="13"/>
          <w:color w:val="auto"/>
        </w:rPr>
        <w:t>last instalment in</w:t>
      </w:r>
    </w:p>
    <w:p>
      <w:pPr>
        <w:ind w:left="3400"/>
        <w:spacing w:after="0"/>
        <w:rPr>
          <w:sz w:val="20"/>
          <w:szCs w:val="20"/>
          <w:color w:val="auto"/>
        </w:rPr>
      </w:pPr>
      <w:r>
        <w:rPr>
          <w:rFonts w:ascii="Arial" w:cs="Arial" w:eastAsia="Arial" w:hAnsi="Arial"/>
          <w:sz w:val="13"/>
          <w:szCs w:val="13"/>
          <w:color w:val="auto"/>
        </w:rPr>
        <w:t>October 2032.</w:t>
      </w:r>
    </w:p>
    <w:p>
      <w:pPr>
        <w:spacing w:after="0" w:line="200" w:lineRule="exact"/>
        <w:rPr>
          <w:sz w:val="20"/>
          <w:szCs w:val="20"/>
          <w:color w:val="auto"/>
        </w:rPr>
      </w:pPr>
    </w:p>
    <w:p>
      <w:pPr>
        <w:sectPr>
          <w:pgSz w:w="11900" w:h="16838" w:orient="portrait"/>
          <w:cols w:equalWidth="0" w:num="3">
            <w:col w:w="3520" w:space="160"/>
            <w:col w:w="2640" w:space="180"/>
            <w:col w:w="4740"/>
          </w:cols>
          <w:pgMar w:left="320" w:top="131" w:right="339" w:bottom="1440" w:gutter="0" w:footer="0" w:header="0"/>
          <w:type w:val="continuous"/>
        </w:sectPr>
      </w:pPr>
    </w:p>
    <w:p>
      <w:pPr>
        <w:spacing w:after="0" w:line="111"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0"/>
          <w:szCs w:val="10"/>
          <w:color w:val="auto"/>
        </w:rPr>
      </w:pPr>
      <w:r>
        <w:rPr>
          <w:rFonts w:ascii="Arial" w:cs="Arial" w:eastAsia="Arial" w:hAnsi="Arial"/>
          <w:sz w:val="12"/>
          <w:szCs w:val="12"/>
          <w:color w:val="auto"/>
        </w:rPr>
        <w:t>Maturity dates are scheduled 12 years from the drawdown date of each individual vessel loan based on the vessel's actual or scheduled delivery 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credit facilities are secured as follows: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guarantees from us and our subsidiary GasLog Carriers Ltd. in the case of the GasLog Warsaw Facility, the 7xNB Facility, the GasLog $576.9M Facility and the GasLog Chelsea $96.8M Facility; in the case of the 2019 GasLog Partners Facility, the GasLog Partners $260.3M Facility and the GasLog Partners $193.7M Facility guarantees from GasLog Partners and GasLog Partners Holdings LLC; in the case of the October 2015 Facility, guarantees from us and GasLog Carriers Ltd. for an amount up to the value of the commitments of the vessels owned by GasLog Carriers Ltd. and guarantees from the Partnership and GasLog Partners Holdings LLC for an amount up to the value of the commitments of the vessels owned by GasLog Partners Holdings LLC;</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certain of our facilities, a pledge or a negative pledge of the share capital of the respective borrower;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certain of our facilities, a first assignment of all earnings and insurances related to the ship owned by the respective borrower.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is not subject to seasonal borrowing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credit facilities impose certain operating and financial restrictions on us. These restrictions generally limit our subsidiaries' ability to, among other things:</w:t>
      </w:r>
    </w:p>
    <w:p>
      <w:pPr>
        <w:spacing w:after="0" w:line="213"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credit facilities (with the exception of the 2019 GasLog Partners Facility; GasLog Partners $260.3M Facility; the GasLog Partners $193.7M Facility; and for the debt of the vessels owned by GasLog Partners under the October 2015 Facility) also impose specified financial covenants that apply to us and our subsidiaries on a consolidated basis. These financial covenants include the following:</w:t>
      </w:r>
    </w:p>
    <w:p>
      <w:pPr>
        <w:spacing w:after="0" w:line="22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not exceed 75.0%;</w:t>
      </w:r>
    </w:p>
    <w:p>
      <w:pPr>
        <w:spacing w:after="0" w:line="252" w:lineRule="exact"/>
        <w:rPr>
          <w:rFonts w:ascii="Arial" w:cs="Arial" w:eastAsia="Arial" w:hAnsi="Arial"/>
          <w:sz w:val="18"/>
          <w:szCs w:val="18"/>
          <w:color w:val="auto"/>
        </w:rPr>
      </w:pPr>
    </w:p>
    <w:p>
      <w:pPr>
        <w:ind w:left="5540" w:right="2460" w:hanging="4992"/>
        <w:spacing w:after="0" w:line="518" w:lineRule="auto"/>
        <w:tabs>
          <w:tab w:leader="none" w:pos="10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0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 and short-term investments are at least $110.0 million;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market value adjusted net worth must at all times be not less than $350.0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case where the Partnership is a guarantor to our Credit Facilities, such facilities also impose specified financial covenants that apply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Partnership and its subsidiaries on a consolidated basis. These financial covenants include the following:</w:t>
      </w:r>
    </w:p>
    <w:p>
      <w:pPr>
        <w:spacing w:after="0" w:line="232" w:lineRule="exact"/>
        <w:rPr>
          <w:sz w:val="20"/>
          <w:szCs w:val="20"/>
          <w:color w:val="auto"/>
        </w:rPr>
      </w:pPr>
    </w:p>
    <w:p>
      <w:pPr>
        <w:ind w:left="1080" w:right="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6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each individual vessel in the October 2015 Facility and 7xNB Facility, 115.0% for the first two years after each drawdown and 120.0% at any time thereafter and in the case of the GasLog Partners $193.7M facility, 130.0%).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7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and we were in compliance with the respective financial covenants as of December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2015 Facility</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with 14 international banks for $1.3 billion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 xml:space="preserve">The loan agreement provides for four tranches of $412.5 million, $201.1 million, $206.1 million and $491.7 million. The facility is also sub-divided into eight loans, one loan per newbuilding vessel, to be provided for each of the vessels on a pro rata basis under each of the four tranches. Each drawing under the first three tranches shall be repaid in 24 consecutive semi-annual equal instalments commencing six months after the actual delivery of the relevant vessel according to a 12-year profile. Each drawing under the fourth tranche shall be repaid in 20 consecutive semi-annual equal instalments commencing six months after the actual delivery of the relevant vessel according to a 20-year profile, with a balloon payment together with the final installment. On March 22, 2016 and June 24, 2016, $163.0 million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$160.7 million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January 2, 2018 and March 14, 2018, $166.2 million was drawn on each date with respect to the deliveries of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while on March 23, 2018 and March 11, 2019, $165.8 million was drawn down on each date with respect to the deliveries of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Gladstone. </w:t>
      </w:r>
      <w:r>
        <w:rPr>
          <w:rFonts w:ascii="Arial" w:cs="Arial" w:eastAsia="Arial" w:hAnsi="Arial"/>
          <w:sz w:val="16"/>
          <w:szCs w:val="16"/>
          <w:color w:val="auto"/>
        </w:rPr>
        <w:t>Amounts drawn bear interest at LIBOR plus a margin.</w:t>
      </w:r>
    </w:p>
    <w:p>
      <w:pPr>
        <w:spacing w:after="0" w:line="17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October 21, 2020, the outstanding indebtedness of GAS-twenty five Ltd., in the amount of $136.8 million was prepaid pursuant to the sale and leaseback agreement entered into with CMBFL.</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and by GasLog and GasLog Carriers Ltd. for up to the value of the outstanding commitments on the remaining vessels under the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GasLog Partners Facility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and Iyo Bank, Ltd. Singapore Branch, each an original lender and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w:t>
      </w:r>
    </w:p>
    <w:p>
      <w:pPr>
        <w:spacing w:after="0" w:line="17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69" w:lineRule="exact"/>
        <w:rPr>
          <w:sz w:val="20"/>
          <w:szCs w:val="20"/>
          <w:color w:val="auto"/>
        </w:rPr>
      </w:pPr>
    </w:p>
    <w:p>
      <w:pPr>
        <w:ind w:right="400" w:firstLine="348"/>
        <w:spacing w:after="0" w:line="369" w:lineRule="auto"/>
        <w:rPr>
          <w:sz w:val="20"/>
          <w:szCs w:val="20"/>
          <w:color w:val="auto"/>
        </w:rPr>
      </w:pPr>
      <w:r>
        <w:rPr>
          <w:rFonts w:ascii="Arial" w:cs="Arial" w:eastAsia="Arial" w:hAnsi="Arial"/>
          <w:sz w:val="15"/>
          <w:szCs w:val="15"/>
          <w:color w:val="auto"/>
        </w:rPr>
        <w:t>The obligations under the 2019 GasLog Partners Facility are secured by a first priority mortgage over the vessels, a pledge of the share capital of the respective vessel owning companies and a first priority assignment of earnings related to the vessels, including charter revenue, management revenue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any insurance and requisition compensation. The obligations under the facility are guaranteed by the Partnership and GasLog Partners Holdings LLC.</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2019 GasLog Partners Facility is subject to the Partnership's financial covenants and to our customary restrictions and events of default.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Warsaw Facility</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6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 xml:space="preserve">The obligations under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 Ltd.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Facility is subject to our financial covenants and to our customary restrictions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7xNB Facility</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 and GAS-thirty five Ltd. entered into a loan agreement with 13 international banks, with Citibank N.A. London Branch and DNB Bank ASA, London Branch acting as agents on behalf of the other finance parties. The financing is backed by the Export Import Bank of Korea ("KEXIM") and the Korea Trade Insurance Corporation ("K-Sure"), who are either directly lending or providing cover for over 60% of the facility. The agreement of up to $1,052.8 million partially finances the delivery of seven newbuilds scheduled to be delivered in 2020 and 2021. The loan agreement provides for four tranches of $176.5 million $174.8 million, $356.7 million, and $344.8 million. The facility is also sub-divided into seven loans, one loan per newbuilding vessel, to be provided for each of the vessels on a pro rata basis under each of the four tranches. Each drawing under the first and the third tranche is repaid in 24 consecutive semi-annual equal installments commencing six months after the actual delivery of the relevant vessel according to a 12-year profile. Each drawing under the second tranche is repaid in 14 consecutive semi-annual equal instalments commencing six months after the actual delivery of the relevant vessel according to an average 7-year profile. Each drawing under the fourth tranche is repaid in a single bullet seven years after the actual delivery of the relevant vessel.</w:t>
      </w:r>
    </w:p>
    <w:p>
      <w:pPr>
        <w:spacing w:after="0" w:line="176"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obligations under the 7xNB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 Ltd.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7xNB Facility is subject to our financial covenants and to our customary restrictions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GasLog Partners $260.3M Facility and 2020 GasLog Partners LP $193.7M Facility</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July 16, 2020, GasLog Partners entered into a credit agreement of $260.3 million with BNP Paribas, Credit Suisse AG and Alpha Bank S.A., each an original lender, with BNP Paribas acting 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security agent and trustee for and on behalf of the other finance parties mentioned above. The purpose of the facility was the refinancing of the outstanding indebtedness of GAS-twenty Ltd., GAS-seven Ltd. and GAS-eight Ltd. including the payment of loan fees under this facility. The vessels covered by the 2020 GasLog Partners $260.3M Facility are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relevant amount of $260.3 million was drawn on July 21, 2020, out of which $258.5 was used to refinance the outstanding indebtedness of GAS-twenty Ltd., GAS-seven Ltd. and GAS-eight Ltd. The facility will amortize over ten equal semi-annual instalments of $8.5 million beginning in January 2021, with a final balloon amount of $174.3 million payable concurrently with the last installment in July 2025. The credit facility bears interest at LIBOR plus a margin.</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October 15, 2020, the Development Bank of Japan Inc. ("DBJ") acceded as a new lender in the facility via transfer certificate. BNP Paribas and Credit Suisse each transferred $25.0 million of their commitment to DBJ following the consent of the Borrowers. Alpha Bank S.A. retained the participation amount it was allocated as an original lender.</w:t>
      </w:r>
    </w:p>
    <w:p>
      <w:pPr>
        <w:spacing w:after="0" w:line="19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 xml:space="preserve">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The purpose of the facility was the refinancing of the outstanding indebtedness of GAS-nineteen Ltd., GAS-twenty one Ltd. and GAS-twenty seven Ltd. and for general corporate purposes. The vessels covered by the 2020 GasLog Partners LP $193.7M Facility are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Methane Heather Sally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Becki Anne</w:t>
      </w:r>
      <w:r>
        <w:rPr>
          <w:rFonts w:ascii="Arial" w:cs="Arial" w:eastAsia="Arial" w:hAnsi="Arial"/>
          <w:sz w:val="18"/>
          <w:szCs w:val="18"/>
          <w:color w:val="auto"/>
        </w:rPr>
        <w:t>.</w:t>
      </w:r>
    </w:p>
    <w:p>
      <w:pPr>
        <w:spacing w:after="0" w:line="20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relevant amount of $193.7 million was drawn down on July 21, 2020, out of which $174.9 million was used to refinance the outstanding indebtedness of GAS-nineteen Ltd., GAS-twenty one Ltd. and GAS-twenty seven Ltd. The facility will amortize over ten equal semi-annual instalments of $8.5 million beginning in January 2021, with a final balloon amount of $107.7 million payable concurrently with the last installment in July 2025. Interest on the facility will be payable at a rate of LIBOR plus a margin.</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obligations under the 2020 GasLog Partners $260.3M Facility and the 2020 GasLog Partners LP $193.7M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 LLC.</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2020 GasLog Partners $260.3M Facility and the 2020 GasLog Partners LP $193.7M Facility are subject to GasLog Partners' financial covenants and customary restrictions and events of default.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GasLog $576.9M Facility</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 xml:space="preserve">Also, on July 16, GasLog refinanced the existing indebtedness due in 2021 for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by entering into a credit agreement of $576.9 million. ABN AMRO Bank N.V., Citigroup</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Markets Limited and Nordea acted as global coordinators and bookrunners, while HSBC Bank plc acted as mandated lead arrangers;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facility comprises of a $494.5 million Term Loan Facility and a $82.4 million revolving loan facility. An amount of $576.9 million was drawn on July 21, 2020, out of which $557.0 million was used to refinance the outstanding indebtedness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GAS-one Ltd., GAS-two Ltd., GAS-six Ltd., GAS-nine Ltd., GAS-ten Ltd., and GAS-eighteen Ltd., the respective entities owning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Skagen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Lydon Volney</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obligations under the 2020 GasLog $576.9M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 Ltd.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2020 GasLog $576.9M Facility is subject to our financial covenants and to our customary restrictions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Chelsea $96.8M Facility</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On July 30, 2020, GasLog entered into a credit agreement with NBG (acting as the sole original lender) for the refinancing of GAS-fifteen Ltd., the entity owning 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facility comprises of $96.8 million which was drawn on July 31, 2020, out of which $92.2 million was used to refinance the outstanding indebtedness of the </w:t>
      </w:r>
      <w:r>
        <w:rPr>
          <w:rFonts w:ascii="Arial" w:cs="Arial" w:eastAsia="Arial" w:hAnsi="Arial"/>
          <w:sz w:val="18"/>
          <w:szCs w:val="18"/>
          <w:i w:val="1"/>
          <w:iCs w:val="1"/>
          <w:color w:val="auto"/>
        </w:rPr>
        <w:t>GasLog Chelsea</w:t>
      </w:r>
      <w:r>
        <w:rPr>
          <w:rFonts w:ascii="Arial" w:cs="Arial" w:eastAsia="Arial" w:hAnsi="Arial"/>
          <w:sz w:val="18"/>
          <w:szCs w:val="18"/>
          <w:color w:val="auto"/>
        </w:rPr>
        <w: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obligations under the GasLog Chelsea $96.8M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 Ltd.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GasLog Chelsea $96.8M Facility is subject to our financial covenants and to our customary restrictions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Hong Kong SLB Transaction</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On October 21, 2020, GasLog entered into a sale and leaseback transaction with a subsidiary of CMB Financial Leasing for the refinancing of GAS-twenty five Ltd., the entity owning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The transaction comprises of $163.4 million which was raised on October 21, 2020, out of which $136.8 million was used to refinance the outstanding indebtedness of the </w:t>
      </w:r>
      <w:r>
        <w:rPr>
          <w:rFonts w:ascii="Arial" w:cs="Arial" w:eastAsia="Arial" w:hAnsi="Arial"/>
          <w:sz w:val="16"/>
          <w:szCs w:val="16"/>
          <w:i w:val="1"/>
          <w:iCs w:val="1"/>
          <w:color w:val="auto"/>
        </w:rPr>
        <w:t>GasLog Hong Kong</w:t>
      </w:r>
      <w:r>
        <w:rPr>
          <w:rFonts w:ascii="Arial" w:cs="Arial" w:eastAsia="Arial" w:hAnsi="Arial"/>
          <w:sz w:val="16"/>
          <w:szCs w:val="16"/>
          <w:color w:val="auto"/>
        </w:rPr>
        <w:t>. GAS-twenty five Ltd., has chartered back the vessel on a bareboat basis for twelve years and has re-purchase options on pre-agreed terms no earlier than the end of year one and no later than the end of year twelve of the bareboat charter. The vessel remains on its charter with Total.</w:t>
      </w:r>
    </w:p>
    <w:p>
      <w:pPr>
        <w:spacing w:after="0" w:line="169"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obligations under the bareboat charter are guaranteed by GasLog and GasLog Carriers Ltd. and the bareboat charter is subject to our financial covenants and to our customary restrictions and events of default.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On November 27, 2019, GasLog completed the issuance of NOK 900 million (equivalent to $98.6 million) of NOK 2024 Bonds in the Norwegian bond market. The NOK 2024 Bonds will mature in November 2024 and bear interest at NIBOR plus margin. Interest payments shall be made in arrears on a quarterly basis. We may redeem the aforementioned bond in whole or in part as from May 2024 at 101% of par plus accrued interests on the redeemed amount.</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NOK 2024 Bonds we are required to comply with the financial covenants listed below:</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5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twelve months' basis must be not less than 110.0%. The ratio shall be regarded as having been complied with even if the ratio falls below the stipulated 110.0% when cash and cash equivalents and short-term investments are at least $110.0 million;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addition, the terms of the NOK 2024 Bonds include a dividend restriction according to which we may not make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w:t>
      </w:r>
    </w:p>
    <w:p>
      <w:pPr>
        <w:spacing w:after="0" w:line="197"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On March 22, 2017, GasLog closed a public offering of $250.0 million aggregate principal amount of the 8.875% Senior Notes at a public offering price of 100% of the principal amount. The net proceeds from the offering after deducting the underwriting discount and offering expenses were $245.3 million.</w:t>
      </w:r>
    </w:p>
    <w:p>
      <w:pPr>
        <w:spacing w:after="0" w:line="14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May 16, 2019, GasLog closed a follow-on issue of $75.0 million aggregate principal amount of the 8.875% Senior Notes priced at 102.5% of par with a yield to maturity of 7.89%. The gross proceeds from this offering were $76.9 million, including a $1.9 million premium, while the net proceeds, after deducting the underwriting discount and offering expenses, were $75.4 million.</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Interest payment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 (b)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at the adjusted treasury rate, plus 50 basis points, plus accrued and unpaid interest thereon to the date of redemption.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Compliance with covenants under the NOK 2024 Bonds and the 8.875% Senior Notes is required at all times and we were in compliance with the respective financial covenants as of December 31, 2020.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make capital expenditures from time to time in connection with the expansion, operation and maintenance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in 2016 we took delivery of four LNG carriers, in 2018 we took delivery of three LNG carriers, in 2019 we took delivery of two LNG carriers and in 2020 we took delivery of four LNG carriers. During the years ended December 31, 2020, 2019, 2018, 2017 and 2016, we funded $0.7 billion, $0.5 billion, $0.7 billion, $0.1 billion and $0.8 billion, respectively, of acquisition, construction and delivery costs, including installment payments on newbuildings, with funds borrowed under credit facilities and the bonds, capital contributions from our pre-IPO shareholders, proceeds from our IPO and the GasLog Partners' IPO, proceeds from follow-on equity offerings and private placements and proceeds from the sale of vessels to GasLog Partners.</w:t>
      </w:r>
    </w:p>
    <w:p>
      <w:pPr>
        <w:spacing w:after="0" w:line="178"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 xml:space="preserve">As of December 31, 2020, our commitments for capital expenditures related primarily to two contracted LNG carriers on order were approximately $321.1 million (excluding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which was delivered on January 4, 2021). Amounts are payable under each shipbuilding contract in installments upon the attainment of certain specified milestones in each ship's construction, with the largest portion of the purchase price for each ship coming due upon its delivery.</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fund these commitments from borrowings under the 7xNB Facility which has an undrawn amount of $305.9 million, available cash and cash from operations.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that we are unable to draw down the amounts committed under our credit facilities,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2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our critical accounting judgments and key sources of estimation uncertainty in applying our accounting policies, see Note 2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Non-Controlling Interests</w:t>
      </w:r>
    </w:p>
    <w:p>
      <w:pPr>
        <w:spacing w:after="0" w:line="225"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The non-controlling interests in the Partnership comprise the portion of the Partnership's common units that are not directly or indirectly held by GasLog (32,726,222 units as of December 31, 2020). Under the terms of the Partnership Agreement, the Partnership is required to distribute 100.0%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9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Partnership's board of directors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Our estimates of recoverable value assume that the vessels are all in seaworthy condition without need for repair and certified in class without notations of any kind. In assessing the fair value less cost to sell of the vessel, we obtain charter free market values for each vessel from independent and internationally recognized ship brokers on a semi-annual basis, which are also commonly used and accepted by our lenders for determining compliance with the relevant covenants in our credit facilities. Vessel values can be highly volatile, so the charter-free market values may not be indicative of the current or future market value of our vessels or prices that could be achieved if we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sets forth in U.S. dollars (i) the historical acquisition cost of our vessels and (ii) the carrying value of each of our vessels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2019 and December 31, 2020, after giving effect to the aggregate impairment charge of $162.1 million recorded against our six Steam vessels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2019 and $28.6 million recorded against our five Steam vessels for the year ended December 31, 2020.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 and Bareboat Vessels</w:t>
      </w:r>
    </w:p>
    <w:p>
      <w:pPr>
        <w:spacing w:after="0" w:line="143"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1"/>
              </w:rPr>
              <w:t>Carrying values</w:t>
            </w:r>
            <w:r>
              <w:rPr>
                <w:rFonts w:ascii="Arial" w:cs="Arial" w:eastAsia="Arial" w:hAnsi="Arial"/>
                <w:sz w:val="22"/>
                <w:szCs w:val="22"/>
                <w:b w:val="1"/>
                <w:bCs w:val="1"/>
                <w:color w:val="auto"/>
                <w:w w:val="91"/>
                <w:vertAlign w:val="superscript"/>
              </w:rPr>
              <w:t>(1)</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Cargo capacity</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Acquisition</w:t>
            </w:r>
          </w:p>
        </w:tc>
        <w:tc>
          <w:tcPr>
            <w:tcW w:w="100" w:type="dxa"/>
            <w:vAlign w:val="bottom"/>
          </w:tcPr>
          <w:p>
            <w:pPr>
              <w:spacing w:after="0"/>
              <w:rPr>
                <w:sz w:val="14"/>
                <w:szCs w:val="14"/>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1"/>
              </w:rPr>
              <w:t>(in thousands of U.S. dollars)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92"/>
              </w:rPr>
              <w:t>December 31,</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7"/>
              </w:rPr>
              <w:t>Vessel</w:t>
            </w:r>
          </w:p>
        </w:tc>
        <w:tc>
          <w:tcPr>
            <w:tcW w:w="2660" w:type="dxa"/>
            <w:vAlign w:val="bottom"/>
            <w:gridSpan w:val="2"/>
          </w:tcPr>
          <w:p>
            <w:pPr>
              <w:spacing w:after="0"/>
              <w:rPr>
                <w:sz w:val="14"/>
                <w:szCs w:val="14"/>
                <w:color w:val="auto"/>
              </w:rPr>
            </w:pP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Acquisition Date</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(cbm)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i w:val="1"/>
                <w:iCs w:val="1"/>
                <w:color w:val="auto"/>
              </w:rPr>
              <w:t>GasLog Savannah</w:t>
            </w:r>
            <w:r>
              <w:rPr>
                <w:rFonts w:ascii="Arial" w:cs="Arial" w:eastAsia="Arial" w:hAnsi="Arial"/>
                <w:sz w:val="28"/>
                <w:szCs w:val="28"/>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May 2010</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229,795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169,017</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Singapore</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July 2010</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227,252</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169,898</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164,906</w:t>
            </w:r>
          </w:p>
        </w:tc>
        <w:tc>
          <w:tcPr>
            <w:tcW w:w="0" w:type="dxa"/>
            <w:vAlign w:val="bottom"/>
          </w:tcPr>
          <w:p>
            <w:pPr>
              <w:spacing w:after="0"/>
              <w:rPr>
                <w:sz w:val="1"/>
                <w:szCs w:val="1"/>
                <w:color w:val="auto"/>
              </w:rPr>
            </w:pPr>
          </w:p>
        </w:tc>
      </w:tr>
      <w:tr>
        <w:trPr>
          <w:trHeight w:val="256"/>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Shanghai</w:t>
            </w:r>
            <w:r>
              <w:rPr>
                <w:rFonts w:ascii="Arial" w:cs="Arial" w:eastAsia="Arial" w:hAnsi="Arial"/>
                <w:sz w:val="29"/>
                <w:szCs w:val="29"/>
                <w:color w:val="auto"/>
                <w:vertAlign w:val="superscript"/>
              </w:rPr>
              <w:t>(3)(4)</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January 2013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189,233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154,681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149,413</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color w:val="auto"/>
                <w:vertAlign w:val="superscript"/>
              </w:rPr>
              <w:t>(3)(4)</w:t>
            </w:r>
          </w:p>
        </w:tc>
        <w:tc>
          <w:tcPr>
            <w:tcW w:w="1380" w:type="dxa"/>
            <w:vAlign w:val="bottom"/>
          </w:tcPr>
          <w:p>
            <w:pPr>
              <w:spacing w:after="0"/>
              <w:rPr>
                <w:sz w:val="20"/>
                <w:szCs w:val="20"/>
                <w:color w:val="auto"/>
              </w:rPr>
            </w:pPr>
            <w:r>
              <w:rPr>
                <w:rFonts w:ascii="Arial" w:cs="Arial" w:eastAsia="Arial" w:hAnsi="Arial"/>
                <w:sz w:val="18"/>
                <w:szCs w:val="18"/>
                <w:color w:val="auto"/>
              </w:rPr>
              <w:t>March 2013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189,111</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164,925</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159,202</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May 2013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195,429</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172,548</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166,656</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Skagen</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July 2013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195,338</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173,241</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167,358</w:t>
            </w:r>
          </w:p>
        </w:tc>
        <w:tc>
          <w:tcPr>
            <w:tcW w:w="0" w:type="dxa"/>
            <w:vAlign w:val="bottom"/>
          </w:tcPr>
          <w:p>
            <w:pPr>
              <w:spacing w:after="0"/>
              <w:rPr>
                <w:sz w:val="1"/>
                <w:szCs w:val="1"/>
                <w:color w:val="auto"/>
              </w:rPr>
            </w:pPr>
          </w:p>
        </w:tc>
      </w:tr>
      <w:tr>
        <w:trPr>
          <w:trHeight w:val="256"/>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Chelsea</w:t>
            </w:r>
            <w:r>
              <w:rPr>
                <w:rFonts w:ascii="Arial" w:cs="Arial" w:eastAsia="Arial" w:hAnsi="Arial"/>
                <w:sz w:val="29"/>
                <w:szCs w:val="29"/>
                <w:color w:val="auto"/>
                <w:vertAlign w:val="superscript"/>
              </w:rPr>
              <w:t>(4)(5)</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October 2013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153,600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162,338</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134,927</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133,568</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December 2013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201,198</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170,132</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164,085</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color w:val="auto"/>
                <w:vertAlign w:val="superscript"/>
              </w:rPr>
              <w:t>(2)(6)(8)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April 2014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99,030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90,533</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color w:val="auto"/>
                <w:vertAlign w:val="superscript"/>
              </w:rPr>
              <w:t>(6)(8)</w:t>
            </w:r>
          </w:p>
        </w:tc>
        <w:tc>
          <w:tcPr>
            <w:tcW w:w="1380" w:type="dxa"/>
            <w:vAlign w:val="bottom"/>
          </w:tcPr>
          <w:p>
            <w:pPr>
              <w:spacing w:after="0"/>
              <w:rPr>
                <w:sz w:val="20"/>
                <w:szCs w:val="20"/>
                <w:color w:val="auto"/>
              </w:rPr>
            </w:pPr>
            <w:r>
              <w:rPr>
                <w:rFonts w:ascii="Arial" w:cs="Arial" w:eastAsia="Arial" w:hAnsi="Arial"/>
                <w:sz w:val="18"/>
                <w:szCs w:val="18"/>
                <w:color w:val="auto"/>
              </w:rPr>
              <w:t>April 2014</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156,613</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102,078</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97,362</w:t>
            </w:r>
          </w:p>
        </w:tc>
        <w:tc>
          <w:tcPr>
            <w:tcW w:w="0" w:type="dxa"/>
            <w:vAlign w:val="bottom"/>
          </w:tcPr>
          <w:p>
            <w:pPr>
              <w:spacing w:after="0"/>
              <w:rPr>
                <w:sz w:val="1"/>
                <w:szCs w:val="1"/>
                <w:color w:val="auto"/>
              </w:rPr>
            </w:pPr>
          </w:p>
        </w:tc>
      </w:tr>
      <w:tr>
        <w:trPr>
          <w:trHeight w:val="256"/>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29"/>
                <w:szCs w:val="29"/>
                <w:color w:val="auto"/>
                <w:vertAlign w:val="superscript"/>
              </w:rPr>
              <w:t>(2)(6)(8)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April 2014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109,098</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99,285</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(2)(7)(8)</w:t>
            </w:r>
          </w:p>
        </w:tc>
        <w:tc>
          <w:tcPr>
            <w:tcW w:w="1380" w:type="dxa"/>
            <w:vAlign w:val="bottom"/>
          </w:tcPr>
          <w:p>
            <w:pPr>
              <w:spacing w:after="0"/>
              <w:rPr>
                <w:sz w:val="20"/>
                <w:szCs w:val="20"/>
                <w:color w:val="auto"/>
              </w:rPr>
            </w:pPr>
            <w:r>
              <w:rPr>
                <w:rFonts w:ascii="Arial" w:cs="Arial" w:eastAsia="Arial" w:hAnsi="Arial"/>
                <w:sz w:val="18"/>
                <w:szCs w:val="18"/>
                <w:color w:val="auto"/>
              </w:rPr>
              <w:t>June 2014</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156,610</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96,604</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96,385</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Shirley Elisabeth</w:t>
            </w:r>
            <w:r>
              <w:rPr>
                <w:rFonts w:ascii="Arial" w:cs="Arial" w:eastAsia="Arial" w:hAnsi="Arial"/>
                <w:sz w:val="29"/>
                <w:szCs w:val="29"/>
                <w:color w:val="auto"/>
                <w:vertAlign w:val="superscript"/>
              </w:rPr>
              <w:t>(2)(7)(8)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156,599</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103,432</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90,283</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color w:val="auto"/>
                <w:vertAlign w:val="superscript"/>
              </w:rPr>
              <w:t>(2)(7)(8)</w:t>
            </w:r>
          </w:p>
        </w:tc>
        <w:tc>
          <w:tcPr>
            <w:tcW w:w="1380" w:type="dxa"/>
            <w:vAlign w:val="bottom"/>
          </w:tcPr>
          <w:p>
            <w:pPr>
              <w:spacing w:after="0"/>
              <w:rPr>
                <w:sz w:val="20"/>
                <w:szCs w:val="20"/>
                <w:color w:val="auto"/>
              </w:rPr>
            </w:pPr>
            <w:r>
              <w:rPr>
                <w:rFonts w:ascii="Arial" w:cs="Arial" w:eastAsia="Arial" w:hAnsi="Arial"/>
                <w:sz w:val="18"/>
                <w:szCs w:val="18"/>
                <w:color w:val="auto"/>
              </w:rPr>
              <w:t>June 2014</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156,599</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105,916</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103,274</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Solaris</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201,849</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172,078</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166,699</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Saratoga</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December 2014</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204,146</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177,256</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173,987</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(5)(8)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232,334</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200,032</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197,668</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color w:val="auto"/>
                <w:vertAlign w:val="superscript"/>
              </w:rPr>
              <w:t>(5)(8)</w:t>
            </w:r>
          </w:p>
        </w:tc>
        <w:tc>
          <w:tcPr>
            <w:tcW w:w="1380" w:type="dxa"/>
            <w:vAlign w:val="bottom"/>
          </w:tcPr>
          <w:p>
            <w:pPr>
              <w:spacing w:after="0"/>
              <w:rPr>
                <w:sz w:val="20"/>
                <w:szCs w:val="20"/>
                <w:color w:val="auto"/>
              </w:rPr>
            </w:pPr>
            <w:r>
              <w:rPr>
                <w:rFonts w:ascii="Arial" w:cs="Arial" w:eastAsia="Arial" w:hAnsi="Arial"/>
                <w:sz w:val="18"/>
                <w:szCs w:val="18"/>
                <w:color w:val="auto"/>
              </w:rPr>
              <w:t>March 2015</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232,334</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199,521</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197,834</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Salem</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April 2015</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204,573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177,750</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175,543</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March 2016</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208,971</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186,430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180,688</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Glasgow</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208,471</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187,411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181,689</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September 2016</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203,867</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184,500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178,615</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Gibraltar</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203,738</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184,897</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179,011</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January 2018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207,784</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196,241</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190,253</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Genoa</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219,436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208,845</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202,508</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Hong Kong</w:t>
            </w:r>
            <w:r>
              <w:rPr>
                <w:rFonts w:ascii="Arial" w:cs="Arial" w:eastAsia="Arial" w:hAnsi="Arial"/>
                <w:sz w:val="29"/>
                <w:szCs w:val="29"/>
                <w:color w:val="auto"/>
                <w:vertAlign w:val="superscript"/>
              </w:rPr>
              <w:t>(3)(8)</w:t>
            </w:r>
          </w:p>
        </w:tc>
        <w:tc>
          <w:tcPr>
            <w:tcW w:w="1380" w:type="dxa"/>
            <w:vAlign w:val="bottom"/>
          </w:tcPr>
          <w:p>
            <w:pPr>
              <w:spacing w:after="0"/>
              <w:rPr>
                <w:sz w:val="20"/>
                <w:szCs w:val="20"/>
                <w:color w:val="auto"/>
              </w:rPr>
            </w:pPr>
            <w:r>
              <w:rPr>
                <w:rFonts w:ascii="Arial" w:cs="Arial" w:eastAsia="Arial" w:hAnsi="Arial"/>
                <w:sz w:val="18"/>
                <w:szCs w:val="18"/>
                <w:color w:val="auto"/>
              </w:rPr>
              <w:t>March 2018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214,946</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204,138</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197,948</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Gladstone</w:t>
            </w:r>
            <w:r>
              <w:rPr>
                <w:rFonts w:ascii="Arial" w:cs="Arial" w:eastAsia="Arial" w:hAnsi="Arial"/>
                <w:sz w:val="29"/>
                <w:szCs w:val="29"/>
                <w:color w:val="auto"/>
                <w:vertAlign w:val="superscript"/>
              </w:rPr>
              <w:t>(3)(8)</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March 2019</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217,609</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212,737</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206,484</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Warsaw</w:t>
            </w:r>
            <w:r>
              <w:rPr>
                <w:rFonts w:ascii="Arial" w:cs="Arial" w:eastAsia="Arial" w:hAnsi="Arial"/>
                <w:sz w:val="29"/>
                <w:szCs w:val="29"/>
                <w:color w:val="auto"/>
                <w:vertAlign w:val="superscript"/>
              </w:rPr>
              <w:t>(3)(4)</w:t>
            </w:r>
          </w:p>
        </w:tc>
        <w:tc>
          <w:tcPr>
            <w:tcW w:w="1380" w:type="dxa"/>
            <w:vAlign w:val="bottom"/>
          </w:tcPr>
          <w:p>
            <w:pPr>
              <w:spacing w:after="0"/>
              <w:rPr>
                <w:sz w:val="20"/>
                <w:szCs w:val="20"/>
                <w:color w:val="auto"/>
              </w:rPr>
            </w:pPr>
            <w:r>
              <w:rPr>
                <w:rFonts w:ascii="Arial" w:cs="Arial" w:eastAsia="Arial" w:hAnsi="Arial"/>
                <w:sz w:val="18"/>
                <w:szCs w:val="18"/>
                <w:color w:val="auto"/>
              </w:rPr>
              <w:t>July 2019</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189,261</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186,878</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181,536</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Windsor</w:t>
            </w:r>
            <w:r>
              <w:rPr>
                <w:rFonts w:ascii="Arial" w:cs="Arial" w:eastAsia="Arial" w:hAnsi="Arial"/>
                <w:sz w:val="29"/>
                <w:szCs w:val="29"/>
                <w:color w:val="auto"/>
                <w:vertAlign w:val="superscript"/>
              </w:rPr>
              <w:t>(3)(4)</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191,096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186,884</w:t>
            </w:r>
          </w:p>
        </w:tc>
        <w:tc>
          <w:tcPr>
            <w:tcW w:w="0" w:type="dxa"/>
            <w:vAlign w:val="bottom"/>
          </w:tcPr>
          <w:p>
            <w:pPr>
              <w:spacing w:after="0"/>
              <w:rPr>
                <w:sz w:val="1"/>
                <w:szCs w:val="1"/>
                <w:color w:val="auto"/>
              </w:rPr>
            </w:pPr>
          </w:p>
        </w:tc>
      </w:tr>
      <w:tr>
        <w:trPr>
          <w:trHeight w:val="256"/>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Wales</w:t>
            </w:r>
            <w:r>
              <w:rPr>
                <w:rFonts w:ascii="Arial" w:cs="Arial" w:eastAsia="Arial" w:hAnsi="Arial"/>
                <w:sz w:val="29"/>
                <w:szCs w:val="29"/>
                <w:color w:val="auto"/>
                <w:vertAlign w:val="superscript"/>
              </w:rPr>
              <w:t>(3)(4)</w:t>
            </w:r>
          </w:p>
        </w:tc>
        <w:tc>
          <w:tcPr>
            <w:tcW w:w="1380" w:type="dxa"/>
            <w:vAlign w:val="bottom"/>
          </w:tcPr>
          <w:p>
            <w:pPr>
              <w:spacing w:after="0"/>
              <w:rPr>
                <w:sz w:val="20"/>
                <w:szCs w:val="20"/>
                <w:color w:val="auto"/>
              </w:rPr>
            </w:pPr>
            <w:r>
              <w:rPr>
                <w:rFonts w:ascii="Arial" w:cs="Arial" w:eastAsia="Arial" w:hAnsi="Arial"/>
                <w:sz w:val="18"/>
                <w:szCs w:val="18"/>
                <w:color w:val="auto"/>
              </w:rPr>
              <w:t>May 2020</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186,216</w:t>
            </w: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182,359</w:t>
            </w:r>
          </w:p>
        </w:tc>
        <w:tc>
          <w:tcPr>
            <w:tcW w:w="0" w:type="dxa"/>
            <w:vAlign w:val="bottom"/>
          </w:tcPr>
          <w:p>
            <w:pPr>
              <w:spacing w:after="0"/>
              <w:rPr>
                <w:sz w:val="1"/>
                <w:szCs w:val="1"/>
                <w:color w:val="auto"/>
              </w:rPr>
            </w:pPr>
          </w:p>
        </w:tc>
      </w:tr>
      <w:tr>
        <w:trPr>
          <w:trHeight w:val="257"/>
        </w:trPr>
        <w:tc>
          <w:tcPr>
            <w:tcW w:w="3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Westminster</w:t>
            </w:r>
            <w:r>
              <w:rPr>
                <w:rFonts w:ascii="Arial" w:cs="Arial" w:eastAsia="Arial" w:hAnsi="Arial"/>
                <w:sz w:val="29"/>
                <w:szCs w:val="29"/>
                <w:color w:val="auto"/>
                <w:vertAlign w:val="superscript"/>
              </w:rPr>
              <w:t>(3)(4)</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July 2020</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185,813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183,644</w:t>
            </w:r>
          </w:p>
        </w:tc>
        <w:tc>
          <w:tcPr>
            <w:tcW w:w="0" w:type="dxa"/>
            <w:vAlign w:val="bottom"/>
          </w:tcPr>
          <w:p>
            <w:pPr>
              <w:spacing w:after="0"/>
              <w:rPr>
                <w:sz w:val="1"/>
                <w:szCs w:val="1"/>
                <w:color w:val="auto"/>
              </w:rPr>
            </w:pPr>
          </w:p>
        </w:tc>
      </w:tr>
      <w:tr>
        <w:trPr>
          <w:trHeight w:val="257"/>
        </w:trPr>
        <w:tc>
          <w:tcPr>
            <w:tcW w:w="302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Georgetown</w:t>
            </w:r>
            <w:r>
              <w:rPr>
                <w:rFonts w:ascii="Arial" w:cs="Arial" w:eastAsia="Arial" w:hAnsi="Arial"/>
                <w:sz w:val="29"/>
                <w:szCs w:val="29"/>
                <w:color w:val="auto"/>
                <w:vertAlign w:val="superscript"/>
              </w:rPr>
              <w:t>(3)(4)</w:t>
            </w:r>
          </w:p>
        </w:tc>
        <w:tc>
          <w:tcPr>
            <w:tcW w:w="1380" w:type="dxa"/>
            <w:vAlign w:val="bottom"/>
          </w:tcPr>
          <w:p>
            <w:pPr>
              <w:spacing w:after="0"/>
              <w:rPr>
                <w:sz w:val="20"/>
                <w:szCs w:val="20"/>
                <w:color w:val="auto"/>
              </w:rPr>
            </w:pPr>
            <w:r>
              <w:rPr>
                <w:rFonts w:ascii="Arial" w:cs="Arial" w:eastAsia="Arial" w:hAnsi="Arial"/>
                <w:sz w:val="18"/>
                <w:szCs w:val="18"/>
                <w:color w:val="auto"/>
              </w:rPr>
              <w:t>November 2020</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184,815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184,165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6,226,600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4,607,188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5,198,842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49"/>
        <w:spacing w:after="0" w:line="256"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Our vessels and the vessel held under finance lease are stated at carrying values (see Note 6 to our consolidated financial statements for our vessels and Note 7 to our consolidated financial statements for the vessel held under finance lease included elsewhere in this annual report). An aggregate impairment loss of $162.1 million was recorded for the year ended December 31, 2019 and $28.6 million was recorded for the year ended December 31, 2020.</w:t>
      </w:r>
    </w:p>
    <w:p>
      <w:pPr>
        <w:spacing w:after="0" w:line="102"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Indicates vessels for which we recorded an impairment loss of $28.6 million in the aggregate for the year ended December 31, 2020.</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construction of these vessels was completed on the acquisition date.</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market value of each vessel individually exceeds the carrying value of that vessel as of December 31, 2020.</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vessels were built in 2010.</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vessels were built in 2006.</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The vessels were built in 2007.</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7"/>
        </w:numPr>
        <w:rPr>
          <w:rFonts w:ascii="Arial" w:cs="Arial" w:eastAsia="Arial" w:hAnsi="Arial"/>
          <w:sz w:val="10"/>
          <w:szCs w:val="10"/>
          <w:color w:val="auto"/>
        </w:rPr>
      </w:pPr>
      <w:r>
        <w:rPr>
          <w:rFonts w:ascii="Arial" w:cs="Arial" w:eastAsia="Arial" w:hAnsi="Arial"/>
          <w:sz w:val="12"/>
          <w:szCs w:val="12"/>
          <w:color w:val="auto"/>
        </w:rPr>
        <w:t>Indicates vessels for which, as of December 31, 2020, the basic charter-free market value is lower than the vessel's carrying value. After the impairment recognition of</w:t>
      </w:r>
    </w:p>
    <w:p>
      <w:pPr>
        <w:spacing w:after="0" w:line="22" w:lineRule="exact"/>
        <w:rPr>
          <w:rFonts w:ascii="Arial" w:cs="Arial" w:eastAsia="Arial" w:hAnsi="Arial"/>
          <w:sz w:val="10"/>
          <w:szCs w:val="10"/>
          <w:color w:val="auto"/>
        </w:rPr>
      </w:pPr>
    </w:p>
    <w:p>
      <w:pPr>
        <w:ind w:left="1680"/>
        <w:spacing w:after="0" w:line="242" w:lineRule="auto"/>
        <w:rPr>
          <w:rFonts w:ascii="Arial" w:cs="Arial" w:eastAsia="Arial" w:hAnsi="Arial"/>
          <w:sz w:val="10"/>
          <w:szCs w:val="10"/>
          <w:color w:val="auto"/>
        </w:rPr>
      </w:pPr>
      <w:r>
        <w:rPr>
          <w:rFonts w:ascii="Arial" w:cs="Arial" w:eastAsia="Arial" w:hAnsi="Arial"/>
          <w:sz w:val="13"/>
          <w:szCs w:val="13"/>
          <w:color w:val="auto"/>
        </w:rPr>
        <w:t xml:space="preserve">$28.6 million, the aggregate carrying value of these vessels exceeds their aggregate basic charter-free market value by $411.9 million as of December 31, 2020. The values in use for each of the </w:t>
      </w:r>
      <w:r>
        <w:rPr>
          <w:rFonts w:ascii="Arial" w:cs="Arial" w:eastAsia="Arial" w:hAnsi="Arial"/>
          <w:sz w:val="13"/>
          <w:szCs w:val="13"/>
          <w:i w:val="1"/>
          <w:iCs w:val="1"/>
          <w:color w:val="auto"/>
        </w:rPr>
        <w:t>GasLog Savannah</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Singapore</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Saratoga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Jane</w:t>
      </w:r>
      <w:r>
        <w:rPr>
          <w:rFonts w:ascii="Arial" w:cs="Arial" w:eastAsia="Arial" w:hAnsi="Arial"/>
          <w:sz w:val="13"/>
          <w:szCs w:val="13"/>
          <w:color w:val="auto"/>
        </w:rPr>
        <w:t xml:space="preserve"> </w:t>
      </w:r>
      <w:r>
        <w:rPr>
          <w:rFonts w:ascii="Arial" w:cs="Arial" w:eastAsia="Arial" w:hAnsi="Arial"/>
          <w:sz w:val="13"/>
          <w:szCs w:val="13"/>
          <w:i w:val="1"/>
          <w:iCs w:val="1"/>
          <w:color w:val="auto"/>
        </w:rPr>
        <w:t>Elizabeth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Julia Louise</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Becki Anne</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Salem</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Greece</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Glasgow</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Geneva</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Gibraltar</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Genoa</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Houston</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Hong Kong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Gladstone </w:t>
      </w:r>
      <w:r>
        <w:rPr>
          <w:rFonts w:ascii="Arial" w:cs="Arial" w:eastAsia="Arial" w:hAnsi="Arial"/>
          <w:sz w:val="13"/>
          <w:szCs w:val="13"/>
          <w:color w:val="auto"/>
        </w:rPr>
        <w:t>were higher than the respective carrying amount of these vessels and, consequently, no</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 loss was recognized.</w:t>
      </w:r>
    </w:p>
    <w:p>
      <w:pPr>
        <w:sectPr>
          <w:pgSz w:w="11900" w:h="16838" w:orient="portrait"/>
          <w:cols w:equalWidth="0" w:num="1">
            <w:col w:w="11220"/>
          </w:cols>
          <w:pgMar w:left="320" w:top="131" w:right="35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 xml:space="preserve">As of June 30, 2020 and December 31, 2020, the carrying amounts of each of the six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twelve TFDE vessels (the</w:t>
      </w:r>
      <w:r>
        <w:rPr>
          <w:rFonts w:ascii="Arial" w:cs="Arial" w:eastAsia="Arial" w:hAnsi="Arial"/>
          <w:sz w:val="16"/>
          <w:szCs w:val="16"/>
          <w:i w:val="1"/>
          <w:iCs w:val="1"/>
          <w:color w:val="auto"/>
        </w:rPr>
        <w:t xml:space="preserve"> GasLog Savannah</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Singapore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four X-DF vessels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Gladstone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w:t>
      </w:r>
      <w:r>
        <w:rPr>
          <w:rFonts w:ascii="Arial" w:cs="Arial" w:eastAsia="Arial" w:hAnsi="Arial"/>
          <w:sz w:val="16"/>
          <w:szCs w:val="16"/>
          <w:color w:val="auto"/>
        </w:rPr>
        <w:t>) were higher than the charter free market values estimated by ship brokers on both dates, while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two additional TFDE vessels,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had carrying amounts higher than their estimated charter-free market values as of December 31, 2020 only. We concluded that this, together with certain other events and circumstances such as the downward pressure on economic activity and energy demand, as well as the significant uncertainty regarding future LNG demand and, therefore, LNG shipping requirements pursuant to the COVID-19 pandemic, combined with our reduced expectations for the estimated rates at which employment for our vessels could be secured over the near-term in the spot market, indicated the existence of potential impairment of these vessels. As a result, we performed an impairment assessment for these vessels by comparing their values in use, being the discounted projected net operating cash flows for these vessels to their carrying values as of June 30, 2020 and December 31, 2020. The assumptions that we used in our discounted projected net operating cash flow analysis included, among others, utilization, operating revenues, voyage expenses and commissions, dry-docking costs, operating expenses (including vessel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79"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Revenue assumptions were based on contracted time charters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the assessment date,</w:t>
      </w:r>
    </w:p>
    <w:p>
      <w:pPr>
        <w:spacing w:after="0" w:line="2"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historical average time charter rates, based on publications by independent third party maritime research services ("maritime research publications"),</w:t>
      </w:r>
    </w:p>
    <w:p>
      <w:pPr>
        <w:spacing w:after="0" w:line="32" w:lineRule="exact"/>
        <w:rPr>
          <w:rFonts w:ascii="Arial" w:cs="Arial" w:eastAsia="Arial" w:hAnsi="Arial"/>
          <w:sz w:val="16"/>
          <w:szCs w:val="16"/>
          <w:color w:val="auto"/>
        </w:rPr>
      </w:pPr>
    </w:p>
    <w:p>
      <w:pPr>
        <w:ind w:right="20" w:firstLine="8"/>
        <w:spacing w:after="0" w:line="323" w:lineRule="auto"/>
        <w:tabs>
          <w:tab w:leader="none" w:pos="297" w:val="left"/>
        </w:tabs>
        <w:numPr>
          <w:ilvl w:val="0"/>
          <w:numId w:val="68"/>
        </w:numPr>
        <w:rPr>
          <w:rFonts w:ascii="Arial" w:cs="Arial" w:eastAsia="Arial" w:hAnsi="Arial"/>
          <w:sz w:val="16"/>
          <w:szCs w:val="16"/>
          <w:color w:val="auto"/>
        </w:rPr>
      </w:pPr>
      <w:r>
        <w:rPr>
          <w:rFonts w:ascii="Arial" w:cs="Arial" w:eastAsia="Arial" w:hAnsi="Arial"/>
          <w:sz w:val="16"/>
          <w:szCs w:val="16"/>
          <w:color w:val="auto"/>
        </w:rPr>
        <w:t>estimated future time charter rates, based on maritime research publications that provide such forecasts and (v) our internal assessment of long-term charter rates achievable by each class of vessel. See Note 2 to our consolidated financial statements included elsewhere in this report.</w:t>
      </w:r>
    </w:p>
    <w:p>
      <w:pPr>
        <w:spacing w:after="0" w:line="14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used an annual operating expenses escalation factor equal to 1% based on its historical data and experience, as well as expectations of future inflation and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our impairment assessment, the rate used to discount future estimated cash flows to their present values was approximately 5.8% to 6.4% as of December 31, 2020 (6.5% to 7.25% as of December 31, 2019). This was based on an estimated weighted average cost of capital calculated using cost of equity and cost of debt components, adjusted also for vessel-specific risks and uncertainties.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a result of its impairment assessments for the year ended December 31, 2020, the Group recognized a non-cash impairment loss of $28.6 million for five of its six Steam vessels built in 2006 and 2007 and determined there was no impairment of the remaining Steam vessel, the 14 TFDE vessels and the four X-DF vessels.</w:t>
      </w:r>
    </w:p>
    <w:p>
      <w:pPr>
        <w:spacing w:after="0" w:line="19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connection with the impairment testing of our vessels as of December 31, 2020, for the 19 vessels with carrying amounts higher than the estimated charter-free market value, we performed a sensitivity analysis on the average re-chartering hire rate used to forecast future cash flows for non-contracted days which is the most difficult, subjective, or complex assumption that has the potential to affect the outcome of the impairment exercise. The following table summarizes the average results of the sensitivity analysis that we performed for the TFDE, X-DF and Steam vessels for which no impairment loss was recognized.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Average break-</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Average re-chartering</w:t>
            </w:r>
          </w:p>
        </w:tc>
        <w:tc>
          <w:tcPr>
            <w:tcW w:w="13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even re-chartering</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Variance</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Propulsion</w:t>
            </w:r>
          </w:p>
        </w:tc>
        <w:tc>
          <w:tcPr>
            <w:tcW w:w="34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81"/>
              <w:spacing w:after="0" w:line="176" w:lineRule="exact"/>
              <w:rPr>
                <w:sz w:val="20"/>
                <w:szCs w:val="20"/>
                <w:color w:val="auto"/>
              </w:rPr>
            </w:pPr>
            <w:r>
              <w:rPr>
                <w:rFonts w:ascii="Arial" w:cs="Arial" w:eastAsia="Arial" w:hAnsi="Arial"/>
                <w:sz w:val="12"/>
                <w:szCs w:val="12"/>
                <w:b w:val="1"/>
                <w:bCs w:val="1"/>
                <w:color w:val="auto"/>
              </w:rPr>
              <w:t>hire rate used</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1"/>
              <w:spacing w:after="0" w:line="176" w:lineRule="exact"/>
              <w:rPr>
                <w:sz w:val="20"/>
                <w:szCs w:val="20"/>
                <w:color w:val="auto"/>
              </w:rPr>
            </w:pPr>
            <w:r>
              <w:rPr>
                <w:rFonts w:ascii="Arial" w:cs="Arial" w:eastAsia="Arial" w:hAnsi="Arial"/>
                <w:sz w:val="12"/>
                <w:szCs w:val="12"/>
                <w:b w:val="1"/>
                <w:bCs w:val="1"/>
                <w:color w:val="auto"/>
                <w:w w:val="97"/>
              </w:rPr>
              <w:t>hire rate</w:t>
            </w:r>
            <w:r>
              <w:rPr>
                <w:rFonts w:ascii="Arial" w:cs="Arial" w:eastAsia="Arial" w:hAnsi="Arial"/>
                <w:sz w:val="20"/>
                <w:szCs w:val="20"/>
                <w:b w:val="1"/>
                <w:bCs w:val="1"/>
                <w:color w:val="auto"/>
                <w:w w:val="97"/>
                <w:vertAlign w:val="superscript"/>
              </w:rPr>
              <w:t>(2)</w:t>
            </w:r>
          </w:p>
        </w:tc>
        <w:tc>
          <w:tcPr>
            <w:tcW w:w="16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Variance (%)</w:t>
            </w:r>
          </w:p>
        </w:tc>
        <w:tc>
          <w:tcPr>
            <w:tcW w:w="160" w:type="dxa"/>
            <w:vAlign w:val="bottom"/>
          </w:tcPr>
          <w:p>
            <w:pPr>
              <w:spacing w:after="0"/>
              <w:rPr>
                <w:sz w:val="15"/>
                <w:szCs w:val="15"/>
                <w:color w:val="auto"/>
              </w:rPr>
            </w:pPr>
          </w:p>
        </w:tc>
      </w:tr>
      <w:tr>
        <w:trPr>
          <w:trHeight w:val="20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X-DF</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41,138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33,862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Steam</w:t>
            </w:r>
            <w:r>
              <w:rPr>
                <w:rFonts w:ascii="Arial" w:cs="Arial" w:eastAsia="Arial" w:hAnsi="Arial"/>
                <w:sz w:val="29"/>
                <w:szCs w:val="29"/>
                <w:color w:val="auto"/>
                <w:vertAlign w:val="superscript"/>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108"/>
        </w:trPr>
        <w:tc>
          <w:tcPr>
            <w:tcW w:w="6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69"/>
        </w:numPr>
        <w:rPr>
          <w:rFonts w:ascii="Arial" w:cs="Arial" w:eastAsia="Arial" w:hAnsi="Arial"/>
          <w:sz w:val="11"/>
          <w:szCs w:val="11"/>
          <w:color w:val="auto"/>
        </w:rPr>
      </w:pPr>
      <w:r>
        <w:rPr>
          <w:rFonts w:ascii="Arial" w:cs="Arial" w:eastAsia="Arial" w:hAnsi="Arial"/>
          <w:sz w:val="13"/>
          <w:szCs w:val="13"/>
          <w:color w:val="auto"/>
        </w:rPr>
        <w:t>The average re-chartering hire rate used in our impairment testing is the average re-chartering rate based on which we estimated the revenues for the remaining useful life of the respective vessels after the expiry of their contracted periods.</w:t>
      </w:r>
    </w:p>
    <w:p>
      <w:pPr>
        <w:spacing w:after="0" w:line="90" w:lineRule="exact"/>
        <w:rPr>
          <w:rFonts w:ascii="Arial" w:cs="Arial" w:eastAsia="Arial" w:hAnsi="Arial"/>
          <w:sz w:val="11"/>
          <w:szCs w:val="11"/>
          <w:color w:val="auto"/>
        </w:rPr>
      </w:pPr>
    </w:p>
    <w:p>
      <w:pPr>
        <w:ind w:left="1680" w:right="140" w:hanging="549"/>
        <w:spacing w:after="0" w:line="274" w:lineRule="auto"/>
        <w:tabs>
          <w:tab w:leader="none" w:pos="1680" w:val="left"/>
        </w:tabs>
        <w:numPr>
          <w:ilvl w:val="0"/>
          <w:numId w:val="69"/>
        </w:numPr>
        <w:rPr>
          <w:rFonts w:ascii="Arial" w:cs="Arial" w:eastAsia="Arial" w:hAnsi="Arial"/>
          <w:sz w:val="11"/>
          <w:szCs w:val="11"/>
          <w:color w:val="auto"/>
        </w:rPr>
      </w:pPr>
      <w:r>
        <w:rPr>
          <w:rFonts w:ascii="Arial" w:cs="Arial" w:eastAsia="Arial" w:hAnsi="Arial"/>
          <w:sz w:val="13"/>
          <w:szCs w:val="13"/>
          <w:color w:val="auto"/>
        </w:rPr>
        <w:t>The average break-even re-chartering hire rate is the average of the contracted charter rate that, if used in the discounted projected net operating cash flows of the impairment testing after the expiry of each vessel's contracted period, would result in discounted total cash flows being equal to the carrying value of the vessels.</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69"/>
        </w:numPr>
        <w:rPr>
          <w:rFonts w:ascii="Arial" w:cs="Arial" w:eastAsia="Arial" w:hAnsi="Arial"/>
          <w:sz w:val="11"/>
          <w:szCs w:val="11"/>
          <w:color w:val="auto"/>
        </w:rPr>
      </w:pPr>
      <w:r>
        <w:rPr>
          <w:rFonts w:ascii="Arial" w:cs="Arial" w:eastAsia="Arial" w:hAnsi="Arial"/>
          <w:sz w:val="13"/>
          <w:szCs w:val="13"/>
          <w:color w:val="auto"/>
        </w:rPr>
        <w:t>In the year ended December 31, 2019, an impairment loss of $29.5 million was recognized with respect to this vessel.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From time to time we incur expenditures relating to inspections for acquiring new vessels. Such expenditures are insignificant and are expensed as they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jc w:val="center"/>
        <w:ind w:right="260"/>
        <w:spacing w:after="0" w:line="518" w:lineRule="auto"/>
        <w:rPr>
          <w:sz w:val="20"/>
          <w:szCs w:val="20"/>
          <w:color w:val="auto"/>
        </w:rPr>
      </w:pPr>
      <w:r>
        <w:rPr>
          <w:rFonts w:ascii="Arial" w:cs="Arial" w:eastAsia="Arial" w:hAnsi="Arial"/>
          <w:sz w:val="18"/>
          <w:szCs w:val="18"/>
          <w:color w:val="auto"/>
        </w:rPr>
        <w:t>As of December 31, 2020, we do not have any transactions, obligations or relationships that should be considered off-balance sheet arrangements.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2020 were:</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3"/>
                <w:szCs w:val="13"/>
                <w:b w:val="1"/>
                <w:bCs w:val="1"/>
                <w:color w:val="auto"/>
              </w:rPr>
              <w:t>Payments Due by Period</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Less than</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1"/>
                <w:szCs w:val="11"/>
                <w:color w:val="auto"/>
              </w:rPr>
            </w:pPr>
          </w:p>
        </w:tc>
      </w:tr>
      <w:tr>
        <w:trPr>
          <w:trHeight w:val="161"/>
        </w:trPr>
        <w:tc>
          <w:tcPr>
            <w:tcW w:w="2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4"/>
                <w:szCs w:val="14"/>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1 - 3 years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3 - 5 years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5 years</w:t>
            </w:r>
          </w:p>
        </w:tc>
        <w:tc>
          <w:tcPr>
            <w:tcW w:w="160" w:type="dxa"/>
            <w:vAlign w:val="bottom"/>
          </w:tcPr>
          <w:p>
            <w:pPr>
              <w:spacing w:after="0"/>
              <w:rPr>
                <w:sz w:val="14"/>
                <w:szCs w:val="14"/>
                <w:color w:val="auto"/>
              </w:rPr>
            </w:pPr>
          </w:p>
        </w:tc>
      </w:tr>
      <w:tr>
        <w:trPr>
          <w:trHeight w:val="142"/>
        </w:trPr>
        <w:tc>
          <w:tcPr>
            <w:tcW w:w="21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9"/>
              </w:rPr>
              <w:t>(Expressed</w:t>
            </w:r>
          </w:p>
        </w:tc>
        <w:tc>
          <w:tcPr>
            <w:tcW w:w="160" w:type="dxa"/>
            <w:vAlign w:val="bottom"/>
          </w:tcPr>
          <w:p>
            <w:pPr>
              <w:spacing w:after="0"/>
              <w:rPr>
                <w:sz w:val="12"/>
                <w:szCs w:val="12"/>
                <w:color w:val="auto"/>
              </w:rPr>
            </w:pPr>
          </w:p>
        </w:tc>
        <w:tc>
          <w:tcPr>
            <w:tcW w:w="2000" w:type="dxa"/>
            <w:vAlign w:val="bottom"/>
            <w:gridSpan w:val="4"/>
          </w:tcPr>
          <w:p>
            <w:pPr>
              <w:jc w:val="right"/>
              <w:ind w:right="360"/>
              <w:spacing w:after="0" w:line="142" w:lineRule="exact"/>
              <w:rPr>
                <w:sz w:val="20"/>
                <w:szCs w:val="20"/>
                <w:color w:val="auto"/>
              </w:rPr>
            </w:pPr>
            <w:r>
              <w:rPr>
                <w:rFonts w:ascii="Arial" w:cs="Arial" w:eastAsia="Arial" w:hAnsi="Arial"/>
                <w:sz w:val="13"/>
                <w:szCs w:val="13"/>
                <w:b w:val="1"/>
                <w:bCs w:val="1"/>
                <w:color w:val="auto"/>
                <w:w w:val="91"/>
              </w:rPr>
              <w:t>in thousands of U.S. dollars)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 obligations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3,841,709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258,262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812,825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1,574,258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1,196,364</w:t>
            </w:r>
          </w:p>
        </w:tc>
      </w:tr>
      <w:tr>
        <w:trPr>
          <w:trHeight w:val="257"/>
        </w:trPr>
        <w:tc>
          <w:tcPr>
            <w:tcW w:w="41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Interest on borrowing obligations and swaps</w:t>
            </w:r>
            <w:r>
              <w:rPr>
                <w:rFonts w:ascii="Arial" w:cs="Arial" w:eastAsia="Arial" w:hAnsi="Arial"/>
                <w:sz w:val="29"/>
                <w:szCs w:val="29"/>
                <w:color w:val="auto"/>
                <w:vertAlign w:val="superscript"/>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609,147</w:t>
            </w: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133,029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239,167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160,378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76,573</w:t>
            </w: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 commitments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1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Lease obligations</w:t>
            </w:r>
            <w:r>
              <w:rPr>
                <w:rFonts w:ascii="Arial" w:cs="Arial" w:eastAsia="Arial" w:hAnsi="Arial"/>
                <w:sz w:val="29"/>
                <w:szCs w:val="29"/>
                <w:color w:val="auto"/>
                <w:vertAlign w:val="superscript"/>
              </w:rPr>
              <w:t>(2)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277,372</w:t>
            </w:r>
          </w:p>
        </w:tc>
        <w:tc>
          <w:tcPr>
            <w:tcW w:w="1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19,189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38,032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37,271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182,880</w:t>
            </w: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Shipbuilding contracts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466,930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466,930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4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5,195,852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878,104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4"/>
              </w:rPr>
              <w:t>1,090,024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1,771,907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1,455,817</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16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120" w:hanging="549"/>
        <w:spacing w:after="0" w:line="274"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3"/>
          <w:szCs w:val="13"/>
          <w:color w:val="auto"/>
        </w:rPr>
        <w:t>Our interest commitment on long-term debt is calculated based on an assumed average applicable interest rate ranging from 1.24% to 3.18%, which takes into account average LIBOR of 0.29%, and the applicable margin spreads in our various loan agreements.</w:t>
      </w:r>
    </w:p>
    <w:p>
      <w:pPr>
        <w:spacing w:after="0" w:line="90" w:lineRule="exact"/>
        <w:rPr>
          <w:rFonts w:ascii="Arial" w:cs="Arial" w:eastAsia="Arial" w:hAnsi="Arial"/>
          <w:sz w:val="11"/>
          <w:szCs w:val="11"/>
          <w:color w:val="auto"/>
        </w:rPr>
      </w:pPr>
    </w:p>
    <w:p>
      <w:pPr>
        <w:ind w:left="1680" w:right="40" w:hanging="549"/>
        <w:spacing w:after="0" w:line="274"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3"/>
          <w:szCs w:val="13"/>
          <w:color w:val="auto"/>
        </w:rPr>
        <w:t xml:space="preserve">Lease obligations related to lease liabilities of the vessel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various properties, vessel communication equipment and certain printers and include future lease charges of $81.2 million.</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Directors and Senior Management</w:t>
      </w:r>
    </w:p>
    <w:p>
      <w:pPr>
        <w:spacing w:after="0" w:line="231"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The following table sets forth information regarding our directors and executive officers. The business address of each of our executive officers and directors listed below is 69 Akti Miaouli, 18537 Piraeus, Greece. Our telephone number at that address is +30 210 459 1000. Members of our board of directors are elected annually, and each director elected holds office for a one-year term. The following directors have been determined by our board of directors to be independent under the standards of the NYSE and the rules and regulations of the SEC: Kristin H. Holth, Donald J. Kintzer, Anthony S. Papadimitriou, Bruce L. Blythe and Julian R. Metherell. Officers are elected from time to time by vote of our board of directors and hold office until a successor is elected.</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6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Age</w:t>
            </w:r>
          </w:p>
        </w:tc>
        <w:tc>
          <w:tcPr>
            <w:tcW w:w="2820" w:type="dxa"/>
            <w:vAlign w:val="bottom"/>
          </w:tcPr>
          <w:p>
            <w:pPr>
              <w:ind w:left="118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0"/>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Peter G. Livanos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Chairman and 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Paul A. Wogan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820" w:type="dxa"/>
            <w:vAlign w:val="bottom"/>
          </w:tcPr>
          <w:p>
            <w:pPr>
              <w:spacing w:after="0"/>
              <w:rPr>
                <w:sz w:val="20"/>
                <w:szCs w:val="20"/>
                <w:color w:val="auto"/>
              </w:rPr>
            </w:pPr>
            <w:r>
              <w:rPr>
                <w:rFonts w:ascii="Arial" w:cs="Arial" w:eastAsia="Arial" w:hAnsi="Arial"/>
                <w:sz w:val="18"/>
                <w:szCs w:val="18"/>
                <w:color w:val="auto"/>
                <w:w w:val="97"/>
              </w:rPr>
              <w:t>Chief Executive Officer and 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Bruce L. Blythe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562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Kristin H. Holth</w:t>
            </w:r>
            <w:r>
              <w:rPr>
                <w:rFonts w:ascii="Arial" w:cs="Arial" w:eastAsia="Arial" w:hAnsi="Arial"/>
                <w:sz w:val="29"/>
                <w:szCs w:val="29"/>
                <w:color w:val="auto"/>
                <w:vertAlign w:val="superscript"/>
              </w:rPr>
              <w:t>(1)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Donald J. Kintzer</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Julian R. Metherell</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820" w:type="dxa"/>
            <w:vAlign w:val="bottom"/>
          </w:tcPr>
          <w:p>
            <w:pPr>
              <w:spacing w:after="0"/>
              <w:rPr>
                <w:sz w:val="20"/>
                <w:szCs w:val="20"/>
                <w:color w:val="auto"/>
              </w:rPr>
            </w:pPr>
            <w:r>
              <w:rPr>
                <w:rFonts w:ascii="Arial" w:cs="Arial" w:eastAsia="Arial" w:hAnsi="Arial"/>
                <w:sz w:val="18"/>
                <w:szCs w:val="18"/>
                <w:color w:val="auto"/>
              </w:rPr>
              <w:t>Director and Vice Chairman</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Anthony S. Papadimitriou</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562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Achilleas Tasioulas</w:t>
            </w:r>
            <w:r>
              <w:rPr>
                <w:rFonts w:ascii="Arial" w:cs="Arial" w:eastAsia="Arial" w:hAnsi="Arial"/>
                <w:sz w:val="29"/>
                <w:szCs w:val="29"/>
                <w:color w:val="auto"/>
                <w:vertAlign w:val="superscript"/>
              </w:rPr>
              <w:t>(2)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Paolo Enoizi</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108"/>
        </w:trPr>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20" w:type="dxa"/>
            <w:vAlign w:val="bottom"/>
          </w:tcPr>
          <w:p>
            <w:pPr>
              <w:spacing w:after="0"/>
              <w:rPr>
                <w:sz w:val="9"/>
                <w:szCs w:val="9"/>
                <w:color w:val="auto"/>
              </w:rPr>
            </w:pPr>
          </w:p>
        </w:tc>
      </w:tr>
      <w:tr>
        <w:trPr>
          <w:trHeight w:val="358"/>
        </w:trPr>
        <w:tc>
          <w:tcPr>
            <w:tcW w:w="340" w:type="dxa"/>
            <w:vAlign w:val="bottom"/>
          </w:tcPr>
          <w:p>
            <w:pPr>
              <w:ind w:left="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3"/>
                <w:szCs w:val="13"/>
                <w:color w:val="auto"/>
              </w:rPr>
              <w:t>Ms. Holth was appointed a director on September 16, 2020.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84"/>
        </w:trPr>
        <w:tc>
          <w:tcPr>
            <w:tcW w:w="340" w:type="dxa"/>
            <w:vAlign w:val="bottom"/>
          </w:tcPr>
          <w:p>
            <w:pPr>
              <w:ind w:left="2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3"/>
                <w:szCs w:val="13"/>
                <w:color w:val="auto"/>
              </w:rPr>
              <w:t>Mr. Tasioulas was appointed Chief Financial Officer on July 1, 2020.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is our Chairman and a member of our board of directors. Mr. Livanos founded our subsidiary GasLog LNG Services in 2001 and was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our subsidiary GasLog Partners from the closing of its initial public offering in May 2014 until June 2020. He has served as our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Chairman since the Company was incorporated in July 2003 and he held the role of chief executive officer ("CEO") from January 2012 until January 2013. Mr. Livanos is the chairman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8" w:lineRule="exact"/>
        <w:rPr>
          <w:sz w:val="20"/>
          <w:szCs w:val="20"/>
          <w:color w:val="auto"/>
        </w:rPr>
      </w:pPr>
    </w:p>
    <w:p>
      <w:pPr>
        <w:ind w:right="120" w:firstLine="351"/>
        <w:spacing w:after="0" w:line="309" w:lineRule="auto"/>
        <w:rPr>
          <w:sz w:val="20"/>
          <w:szCs w:val="20"/>
          <w:color w:val="auto"/>
        </w:rPr>
      </w:pPr>
      <w:r>
        <w:rPr>
          <w:rFonts w:ascii="Arial" w:cs="Arial" w:eastAsia="Arial" w:hAnsi="Arial"/>
          <w:sz w:val="15"/>
          <w:szCs w:val="15"/>
          <w:b w:val="1"/>
          <w:bCs w:val="1"/>
          <w:color w:val="auto"/>
        </w:rPr>
        <w:t xml:space="preserve">Paul A. Wogan </w:t>
      </w:r>
      <w:r>
        <w:rPr>
          <w:rFonts w:ascii="Arial" w:cs="Arial" w:eastAsia="Arial" w:hAnsi="Arial"/>
          <w:sz w:val="15"/>
          <w:szCs w:val="15"/>
          <w:color w:val="auto"/>
        </w:rPr>
        <w:t>has served as our CEO since January 2013 and has been a member of our board of directors since our annual general meeting in May</w:t>
      </w:r>
      <w:r>
        <w:rPr>
          <w:rFonts w:ascii="Arial" w:cs="Arial" w:eastAsia="Arial" w:hAnsi="Arial"/>
          <w:sz w:val="15"/>
          <w:szCs w:val="15"/>
          <w:b w:val="1"/>
          <w:bCs w:val="1"/>
          <w:color w:val="auto"/>
        </w:rPr>
        <w:t xml:space="preserve"> </w:t>
      </w:r>
      <w:r>
        <w:rPr>
          <w:rFonts w:ascii="Arial" w:cs="Arial" w:eastAsia="Arial" w:hAnsi="Arial"/>
          <w:sz w:val="15"/>
          <w:szCs w:val="15"/>
          <w:color w:val="auto"/>
        </w:rPr>
        <w:t>2015. Mr. Wogan was appointed to the board of directors of GasLog Partners in August 2020 and was appointed as the CEO of GasLog Partners in September</w:t>
      </w:r>
    </w:p>
    <w:p>
      <w:pPr>
        <w:spacing w:after="0" w:line="292" w:lineRule="auto"/>
        <w:rPr>
          <w:sz w:val="20"/>
          <w:szCs w:val="20"/>
          <w:color w:val="auto"/>
        </w:rPr>
      </w:pPr>
      <w:r>
        <w:rPr>
          <w:rFonts w:ascii="Arial" w:cs="Arial" w:eastAsia="Arial" w:hAnsi="Arial"/>
          <w:sz w:val="16"/>
          <w:szCs w:val="16"/>
          <w:color w:val="auto"/>
        </w:rPr>
        <w:t>2020.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From 2009 to 2014, Mr. Wogan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64" w:lineRule="exact"/>
        <w:rPr>
          <w:sz w:val="20"/>
          <w:szCs w:val="20"/>
          <w:color w:val="auto"/>
        </w:rPr>
      </w:pPr>
    </w:p>
    <w:p>
      <w:pPr>
        <w:ind w:right="380" w:firstLine="351"/>
        <w:spacing w:after="0" w:line="255" w:lineRule="auto"/>
        <w:rPr>
          <w:sz w:val="20"/>
          <w:szCs w:val="20"/>
          <w:color w:val="auto"/>
        </w:rPr>
      </w:pPr>
      <w:r>
        <w:rPr>
          <w:rFonts w:ascii="Arial" w:cs="Arial" w:eastAsia="Arial" w:hAnsi="Arial"/>
          <w:sz w:val="18"/>
          <w:szCs w:val="18"/>
          <w:b w:val="1"/>
          <w:bCs w:val="1"/>
          <w:color w:val="auto"/>
        </w:rPr>
        <w:t xml:space="preserve">Bruce L. Blythe </w:t>
      </w:r>
      <w:r>
        <w:rPr>
          <w:rFonts w:ascii="Arial" w:cs="Arial" w:eastAsia="Arial" w:hAnsi="Arial"/>
          <w:sz w:val="18"/>
          <w:szCs w:val="18"/>
          <w:color w:val="auto"/>
        </w:rPr>
        <w:t>has been a member of our board of directors since October 2011. Mr. Blythe has been involved in the shipping industry for over</w:t>
      </w:r>
      <w:r>
        <w:rPr>
          <w:rFonts w:ascii="Arial" w:cs="Arial" w:eastAsia="Arial" w:hAnsi="Arial"/>
          <w:sz w:val="18"/>
          <w:szCs w:val="18"/>
          <w:b w:val="1"/>
          <w:bCs w:val="1"/>
          <w:color w:val="auto"/>
        </w:rPr>
        <w:t xml:space="preserve"> </w:t>
      </w:r>
      <w:r>
        <w:rPr>
          <w:rFonts w:ascii="Arial" w:cs="Arial" w:eastAsia="Arial" w:hAnsi="Arial"/>
          <w:sz w:val="18"/>
          <w:szCs w:val="18"/>
          <w:color w:val="auto"/>
        </w:rPr>
        <w:t>25 years, having served as an advisor to the Livanos family since 1994. For over 30 years, Mr. Blythe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is a director of DryLog Ltd. and Vice-Chairman of the Ceres Group. Mr. Blythe holds an M.B.A. in finance and transportation and a B.A. in business administration from Pennsylvania State University.</w:t>
      </w:r>
    </w:p>
    <w:p>
      <w:pPr>
        <w:spacing w:after="0" w:line="19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b w:val="1"/>
          <w:bCs w:val="1"/>
          <w:color w:val="auto"/>
        </w:rPr>
        <w:t xml:space="preserve">Kristin H. Holth </w:t>
      </w:r>
      <w:r>
        <w:rPr>
          <w:rFonts w:ascii="Arial" w:cs="Arial" w:eastAsia="Arial" w:hAnsi="Arial"/>
          <w:sz w:val="18"/>
          <w:szCs w:val="18"/>
          <w:color w:val="auto"/>
        </w:rPr>
        <w:t>has been a member of our Board of Directors since September 2020 and was appointed to our Audit &amp; Risk Committee in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2020. From 2017 to 2020 Ms. Holth served as Executive Vice President and Global Head of Ocean Industries in DNB Bank ASA, Norway's largest financial services group. Ms. Holth has significant experience in capital markets and funding and has held numerous management positions within DNB, including Global Head of Shipping, Offshore &amp; Logistics for four years and General Manager &amp; Head of DNB Americas for six years. Ms. Holth also holds several board positions including Maersk Drilling, Maersk Tankers and HitecVision. Ms. Holth holds a Bachelor in Economics and Business Administration from BI Norwegian Business School.</w:t>
      </w:r>
    </w:p>
    <w:p>
      <w:pPr>
        <w:spacing w:after="0" w:line="19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Donald J. Kintzer </w:t>
      </w:r>
      <w:r>
        <w:rPr>
          <w:rFonts w:ascii="Arial" w:cs="Arial" w:eastAsia="Arial" w:hAnsi="Arial"/>
          <w:sz w:val="16"/>
          <w:szCs w:val="16"/>
          <w:color w:val="auto"/>
        </w:rPr>
        <w:t>has been a member of our board of directors since November 2014. He is a retired partner of PricewaterhouseCoopers LLP, or "PwC",</w:t>
      </w:r>
      <w:r>
        <w:rPr>
          <w:rFonts w:ascii="Arial" w:cs="Arial" w:eastAsia="Arial" w:hAnsi="Arial"/>
          <w:sz w:val="16"/>
          <w:szCs w:val="16"/>
          <w:b w:val="1"/>
          <w:bCs w:val="1"/>
          <w:color w:val="auto"/>
        </w:rPr>
        <w:t xml:space="preserve"> </w:t>
      </w:r>
      <w:r>
        <w:rPr>
          <w:rFonts w:ascii="Arial" w:cs="Arial" w:eastAsia="Arial" w:hAnsi="Arial"/>
          <w:sz w:val="16"/>
          <w:szCs w:val="16"/>
          <w:color w:val="auto"/>
        </w:rPr>
        <w:t>having retired in 2008 after an association of over 31 years. He was admitted to the partnership in 1988 and served in various roles and locations during his career. Mr. Kintzer is a member of the board of directors of California Bank of Commerce and a member of the board of governors of Lawrence Livermore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Julian R. Metherell </w:t>
      </w:r>
      <w:r>
        <w:rPr>
          <w:rFonts w:ascii="Arial" w:cs="Arial" w:eastAsia="Arial" w:hAnsi="Arial"/>
          <w:sz w:val="16"/>
          <w:szCs w:val="16"/>
          <w:color w:val="auto"/>
        </w:rPr>
        <w:t>is vice-chairman and has been a member of our board of directors since October 2011. Mr. Metherell is currently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MW&amp;L Capital; he also sits on the board of a number of private companies including Wellsafe, Natural Capital Research and Chairman Mentors International. Mr. Metherell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was appointed to the board of directors and audit committee of GasLog Partners in August 2020. Mr. Metherell is a graduate of Manchester University, where he received a B.Sc. degree, and of Cambridge University, where he received an M.B.A.</w:t>
      </w:r>
    </w:p>
    <w:p>
      <w:pPr>
        <w:spacing w:after="0" w:line="16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Anthony S. Papadimitriou </w:t>
      </w:r>
      <w:r>
        <w:rPr>
          <w:rFonts w:ascii="Arial" w:cs="Arial" w:eastAsia="Arial" w:hAnsi="Arial"/>
          <w:sz w:val="16"/>
          <w:szCs w:val="16"/>
          <w:color w:val="auto"/>
        </w:rPr>
        <w:t>has been a member of our board of directors since November 2011, when he was designated by the Onassis Foundation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as one of our directors. Mr. Papadimitriou is the Founding 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65"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b w:val="1"/>
          <w:bCs w:val="1"/>
          <w:color w:val="auto"/>
        </w:rPr>
        <w:t xml:space="preserve">Achilleas Tasioulas </w:t>
      </w:r>
      <w:r>
        <w:rPr>
          <w:rFonts w:ascii="Arial" w:cs="Arial" w:eastAsia="Arial" w:hAnsi="Arial"/>
          <w:sz w:val="16"/>
          <w:szCs w:val="16"/>
          <w:color w:val="auto"/>
        </w:rPr>
        <w:t>has served as our CFO and CFO of GasLog Partners since July 2020. He joined GasLog in October 2014 as Financial Controller and</w:t>
      </w:r>
      <w:r>
        <w:rPr>
          <w:rFonts w:ascii="Arial" w:cs="Arial" w:eastAsia="Arial" w:hAnsi="Arial"/>
          <w:sz w:val="16"/>
          <w:szCs w:val="16"/>
          <w:b w:val="1"/>
          <w:bCs w:val="1"/>
          <w:color w:val="auto"/>
        </w:rPr>
        <w:t xml:space="preserve"> </w:t>
      </w:r>
      <w:r>
        <w:rPr>
          <w:rFonts w:ascii="Arial" w:cs="Arial" w:eastAsia="Arial" w:hAnsi="Arial"/>
          <w:sz w:val="16"/>
          <w:szCs w:val="16"/>
          <w:color w:val="auto"/>
        </w:rPr>
        <w:t>his role was expanded to Chief Risk Officer, Financial Controller and Head of Tax in August 2017 and Deputy CFO of GasLog in December 2019 and has over 13 years of experience in the shipping industry. During his years with GasLog he has been actively engaged in our growth, capital markets activity and has developed considerable experience in operations, corporate finance, treasury and risk management. Achilleas is also a Board Member of Gastrade and a Director of several Group subsidiaries. Immediately prior to joining GasLog, Achilleas was Corporate Controller for NYSE-listed Danaos Corporation for</w:t>
      </w:r>
    </w:p>
    <w:p>
      <w:pPr>
        <w:spacing w:after="0" w:line="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6 years. He is an ICAEW Fellow Chartered Accountant, has an MSc in Project Analysis, Finance and Investments from the University of York and a BSc in Economics from the University of Macedonia in Greece. Furthermore, he has completed executive education programs in Advance Corporate Finance in London Business School and Strategic Financial Leadership in Stanford University Graduate School of Business.</w:t>
      </w:r>
    </w:p>
    <w:p>
      <w:pPr>
        <w:spacing w:after="0" w:line="15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Paolo Enoizi </w:t>
      </w:r>
      <w:r>
        <w:rPr>
          <w:rFonts w:ascii="Arial" w:cs="Arial" w:eastAsia="Arial" w:hAnsi="Arial"/>
          <w:sz w:val="16"/>
          <w:szCs w:val="16"/>
          <w:color w:val="auto"/>
        </w:rPr>
        <w:t>joined GasLog in August 2019 and was appointed Chief Operating Officer ("COO") in September 2019. He was appointed COO of GasLog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on the same date. Prior to joining GasLog,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Limited, a not for profit joint industry initiative which uses a predictive mathematical model to enhance shipping industry safety. Mr. Enoizi has a Masters degree in Naval Architecture and Marine Engineering from the University of Genova.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board leadership structure consists of our Chairman, the vice chairman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non-executive directors receive:</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fee of $132,000;</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additional annual fees of $50,000 to the chairman of the board, $50,000 to the chairman of the audit and risk committee and $30,000 to the chairmen of the compensation committee and safety and sustainability committee; and</w:t>
      </w:r>
    </w:p>
    <w:p>
      <w:pPr>
        <w:spacing w:after="0" w:line="199"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additional annual fees of $25,000 to each member of the audit and risk committee and $20,000 to each member of the compensation committee and safety and sustainability committee (in each case other than the chairmen of such committees); and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annual fees paid to non-executive directors in 2020 was $1.1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may determine that a portion of the above fees will be paid in shares rather than cash.</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For 2020, our executive officers were Paul Wogan, Alastair Maxwell (CFO to June 30, 2020), Achilleas Tasioulas (CFO from July 1, 2020) and Paolo Enoizi. Compensation for our executive officers in 2020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subject to the achievement of pre-established individual and Company performance objectives, as well as a component based on Company discretion. Each participant's target payout and the weightings assigned to the individual and Company performance objectives and the Company discretionary component are dependent on the participant's organization level. No amounts will be paid under the MIP to any participant who fails to achieve 50.0% of his or her target individual performance objectives. Company performance is measured against a number of key business indicators (KBI's), multiplied by a Company Safety Factor, the results of which are overlaid with Board Discretion. Since 2020, the following KBIs are in place: a) Free Cash Flow per Share target (17,5%), b) Absolute Return on Invested Capital target (17.5%), c) Commercial Performance (25%), d) Operating Expenses (20%) and e) Vessel uptime (20%). An additional KBI, ESG as competitive advantage, has been introduced but in 2020 had a weight of 0%.</w:t>
      </w:r>
    </w:p>
    <w:p>
      <w:pPr>
        <w:spacing w:after="0" w:line="18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Safety factor is based on Personal Safety, Significant Incidents and Leading Indicators, in which falling short of the safety target may result in a corresponding reduction of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2020 pursuant to the MIP were determined based on the following weightings: Individual performance (30.0%), Company performance (50.0%) and Company discretion (20.0%).</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2020 was $4.1 million.</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our executive officers received equity-based compensation awards in accordance with the 2013 Omnibus Incentive Compensation Plan, or the "Plan",". On April 1, 2020, we granted our executive officers an aggregate of 156,539 performance stock units and 156,539 restricted stock units under the Plan. The performance stock units vest following the completion of a 3 years period (01.01.2020-31.12.2023), subject to certain performance targets and the recipient's continued service. The restricted stock units vest incrementally over three years subject to the recipient's continued service. The performance stock units and the restricted stock units may be settled in cash or common shares, or a combination thereof, at our discretion. We generally determine during the March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78"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did not set aside or accrue any amounts in the year ended December 31, 2020 to provide pension, retirement or similar benefits to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board of directors consists of seven members. The board of directors may change the number of directors to not less than three, nor more than fifteen. Each director shall be elected to serve until the next annual meeting of shareholders or until their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 of directors.</w:t>
      </w:r>
    </w:p>
    <w:p>
      <w:pPr>
        <w:spacing w:after="0" w:line="166" w:lineRule="exact"/>
        <w:rPr>
          <w:sz w:val="20"/>
          <w:szCs w:val="20"/>
          <w:color w:val="auto"/>
        </w:rPr>
      </w:pPr>
    </w:p>
    <w:p>
      <w:pPr>
        <w:ind w:right="100" w:firstLine="348"/>
        <w:spacing w:after="0" w:line="310" w:lineRule="auto"/>
        <w:rPr>
          <w:sz w:val="20"/>
          <w:szCs w:val="20"/>
          <w:color w:val="auto"/>
        </w:rPr>
      </w:pPr>
      <w:r>
        <w:rPr>
          <w:rFonts w:ascii="Arial" w:cs="Arial" w:eastAsia="Arial" w:hAnsi="Arial"/>
          <w:sz w:val="15"/>
          <w:szCs w:val="15"/>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and we complete biennial performance evaluation of the compensation committee. As a result,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162" w:lineRule="exact"/>
        <w:rPr>
          <w:sz w:val="20"/>
          <w:szCs w:val="20"/>
          <w:color w:val="auto"/>
        </w:rPr>
      </w:pPr>
    </w:p>
    <w:p>
      <w:pPr>
        <w:ind w:right="380" w:firstLine="351"/>
        <w:spacing w:after="0" w:line="369" w:lineRule="auto"/>
        <w:rPr>
          <w:sz w:val="20"/>
          <w:szCs w:val="20"/>
          <w:color w:val="auto"/>
        </w:rPr>
      </w:pPr>
      <w:r>
        <w:rPr>
          <w:rFonts w:ascii="Arial" w:cs="Arial" w:eastAsia="Arial" w:hAnsi="Arial"/>
          <w:sz w:val="15"/>
          <w:szCs w:val="15"/>
          <w:color w:val="auto"/>
        </w:rPr>
        <w:t>Our board of directors meets regularly throughout the year. In 2020, the board met 15 times. As part of our board meetings, our independent directors meet without the non-independent directors in attendance. In addition, the board regularly holds sessions without the CEO and executive officers present.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audit and risk committee consists of Ms. Holth and Messrs. Blythe and Kintzer with Mr. Kintzer serving as the committee chairman. Our board of directors has affirmatively determined that each of these individuals meets the definition of "independent director" for purposes of serving on an audit committee under applicable SEC and NYSE rules. Mr. Kintzer qualifies as an "audit committee financial expert". The audit and risk committee is responsible for:</w:t>
      </w:r>
    </w:p>
    <w:p>
      <w:pPr>
        <w:spacing w:after="0" w:line="210" w:lineRule="exact"/>
        <w:rPr>
          <w:sz w:val="20"/>
          <w:szCs w:val="20"/>
          <w:color w:val="auto"/>
        </w:rPr>
      </w:pPr>
    </w:p>
    <w:p>
      <w:pPr>
        <w:ind w:left="1080" w:right="1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policies with respect to financial risk assessment and risk management and monitoring our financial risk and risk management systems;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group and the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establishing procedures for the consideration of all related-party transactions, including matters involving potential conflicts of interest;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and risk committee by the board of directors from time to time.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Our compensation committee consists of Messrs. Blythe, Papadimitriou and Metherell, with Mr. Blythe serving as the committee chairman. The compensation committee is responsible for:</w:t>
      </w:r>
    </w:p>
    <w:p>
      <w:pPr>
        <w:spacing w:after="0" w:line="199" w:lineRule="exact"/>
        <w:rPr>
          <w:sz w:val="20"/>
          <w:szCs w:val="20"/>
          <w:color w:val="auto"/>
        </w:rPr>
      </w:pPr>
    </w:p>
    <w:p>
      <w:pPr>
        <w:ind w:left="1080" w:right="1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with respect to the compensation of directors, senior management, the head of internal audit and other managerial employees reporting to the CEO;</w:t>
      </w:r>
    </w:p>
    <w:p>
      <w:pPr>
        <w:spacing w:after="0" w:line="21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of directors with respect to any of the Company's long-term incentive plans, including any equity-based compensation plans to be adopted;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Sustainability Committee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safety and sustainability committee consists of Messrs. Metherell and Livanos, with Mr. Metherell serving as the committee chairman. The safety and sustainability committee is responsible for:</w:t>
      </w:r>
    </w:p>
    <w:p>
      <w:pPr>
        <w:spacing w:after="0" w:line="199" w:lineRule="exact"/>
        <w:rPr>
          <w:sz w:val="20"/>
          <w:szCs w:val="20"/>
          <w:color w:val="auto"/>
        </w:rPr>
      </w:pPr>
    </w:p>
    <w:p>
      <w:pPr>
        <w:ind w:left="1080" w:right="3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reviewing on an annual basis the Company's key policies in relation to safety and sustainability (including those relating to operational risks);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reviewing the development of the Company's Environmental, Social and Governance ("ESG") strategy;</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Company's compliance with relevant legislation, regulation and recommendations for safety and sustainability in all operational areas;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ensuring the appropriate training is provided for employees in relation to safety and sustainability;</w:t>
      </w:r>
    </w:p>
    <w:p>
      <w:pPr>
        <w:spacing w:after="0" w:line="252"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 and</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monitoring the integrity and effectiveness of the non-financial statements of the Company and any other formal communications relating to the Company's performance in safety and sustainability.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http://www.gaslogltd.com.</w:t>
      </w:r>
      <w:r>
        <w:rPr>
          <w:rFonts w:ascii="Arial" w:cs="Arial" w:eastAsia="Arial" w:hAnsi="Arial"/>
          <w:sz w:val="18"/>
          <w:szCs w:val="18"/>
          <w:color w:val="auto"/>
        </w:rPr>
        <w:t xml:space="preserve"> The information contained on or connected to our website is not a part of this annual report. We will also 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2020, we had 170 full-time employees and contractors based in our offices in Piraeus, Monaco, London, New Jersey, Singapore and the newbuildings site in South Korea. In addition to our shore-based employees and contractors, we had approximately 1,866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2020, our retention rate was 97% for senior seagoing officers, 94% for other seagoing officers and 97.17% for shore staff.</w:t>
      </w:r>
    </w:p>
    <w:p>
      <w:pPr>
        <w:spacing w:after="0" w:line="20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some of our time charters, including automatic periodic adjustment and cost review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certain information regarding the beneficial ownership of our outstanding common shares as of March 1, 2021 held by:</w:t>
      </w:r>
    </w:p>
    <w:p>
      <w:pPr>
        <w:spacing w:after="0" w:line="26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holder known to us to beneficially own 5.0% or more of our shares;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95,192,812 common shares outstanding as of March 1, 2021. Each issued and outstanding common share will entitle the shareholder to one vote. Information for certain holders is based on their latest filings with the SEC or information delivered to us. Except as noted below, the address of all shareholders, officers and directors identified in the table and the accompanying footnotes below is in care of our principal executive offices.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Common Shares</w:t>
            </w:r>
          </w:p>
        </w:tc>
        <w:tc>
          <w:tcPr>
            <w:tcW w:w="0" w:type="dxa"/>
            <w:vAlign w:val="bottom"/>
          </w:tcPr>
          <w:p>
            <w:pPr>
              <w:spacing w:after="0"/>
              <w:rPr>
                <w:sz w:val="1"/>
                <w:szCs w:val="1"/>
                <w:color w:val="auto"/>
              </w:rPr>
            </w:pPr>
          </w:p>
        </w:tc>
      </w:tr>
      <w:tr>
        <w:trPr>
          <w:trHeight w:val="161"/>
        </w:trPr>
        <w:tc>
          <w:tcPr>
            <w:tcW w:w="60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84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142"/>
        </w:trPr>
        <w:tc>
          <w:tcPr>
            <w:tcW w:w="6020" w:type="dxa"/>
            <w:vAlign w:val="bottom"/>
            <w:gridSpan w:val="4"/>
            <w:vMerge w:val="continue"/>
          </w:tcPr>
          <w:p>
            <w:pPr>
              <w:spacing w:after="0"/>
              <w:rPr>
                <w:sz w:val="12"/>
                <w:szCs w:val="12"/>
                <w:color w:val="auto"/>
              </w:rPr>
            </w:pPr>
          </w:p>
        </w:tc>
        <w:tc>
          <w:tcPr>
            <w:tcW w:w="9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gridSpan w:val="3"/>
          </w:tcPr>
          <w:p>
            <w:pPr>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39,419,544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A. Wogan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Bruce L. Blythe</w:t>
            </w:r>
          </w:p>
        </w:tc>
        <w:tc>
          <w:tcPr>
            <w:tcW w:w="920" w:type="dxa"/>
            <w:vAlign w:val="bottom"/>
          </w:tcPr>
          <w:p>
            <w:pPr>
              <w:jc w:val="right"/>
              <w:spacing w:after="0"/>
              <w:rPr>
                <w:sz w:val="20"/>
                <w:szCs w:val="20"/>
                <w:color w:val="auto"/>
              </w:rPr>
            </w:pPr>
            <w:r>
              <w:rPr>
                <w:rFonts w:ascii="Arial" w:cs="Arial" w:eastAsia="Arial" w:hAnsi="Arial"/>
                <w:sz w:val="18"/>
                <w:szCs w:val="18"/>
                <w:color w:val="auto"/>
              </w:rPr>
              <w:t>1,200,000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Enoizi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Donald J. Kintzer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Julian R. Metherell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Anthony S. Papadimitriou</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40,788.013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i w:val="1"/>
                <w:iCs w:val="1"/>
                <w:color w:val="auto"/>
              </w:rPr>
              <w:t>Other 5.0% beneficial owners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11,164,904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0" w:lineRule="auto"/>
        <w:tabs>
          <w:tab w:leader="none" w:pos="2240" w:val="left"/>
        </w:tabs>
        <w:numPr>
          <w:ilvl w:val="0"/>
          <w:numId w:val="77"/>
        </w:numPr>
        <w:rPr>
          <w:rFonts w:ascii="Arial" w:cs="Arial" w:eastAsia="Arial" w:hAnsi="Arial"/>
          <w:sz w:val="10"/>
          <w:szCs w:val="10"/>
          <w:color w:val="auto"/>
        </w:rPr>
      </w:pPr>
      <w:r>
        <w:rPr>
          <w:rFonts w:ascii="Arial" w:cs="Arial" w:eastAsia="Arial" w:hAnsi="Arial"/>
          <w:sz w:val="12"/>
          <w:szCs w:val="12"/>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w:t>
      </w:r>
    </w:p>
    <w:p>
      <w:pPr>
        <w:spacing w:after="0" w:line="94" w:lineRule="exact"/>
        <w:rPr>
          <w:rFonts w:ascii="Arial" w:cs="Arial" w:eastAsia="Arial" w:hAnsi="Arial"/>
          <w:sz w:val="10"/>
          <w:szCs w:val="10"/>
          <w:color w:val="auto"/>
        </w:rPr>
      </w:pPr>
    </w:p>
    <w:p>
      <w:pPr>
        <w:ind w:left="2240" w:right="20" w:hanging="547"/>
        <w:spacing w:after="0" w:line="256" w:lineRule="auto"/>
        <w:tabs>
          <w:tab w:leader="none" w:pos="2240" w:val="left"/>
        </w:tabs>
        <w:numPr>
          <w:ilvl w:val="0"/>
          <w:numId w:val="77"/>
        </w:numPr>
        <w:rPr>
          <w:rFonts w:ascii="Arial" w:cs="Arial" w:eastAsia="Arial" w:hAnsi="Arial"/>
          <w:sz w:val="11"/>
          <w:szCs w:val="11"/>
          <w:color w:val="auto"/>
        </w:rPr>
      </w:pPr>
      <w:r>
        <w:rPr>
          <w:rFonts w:ascii="Arial" w:cs="Arial" w:eastAsia="Arial" w:hAnsi="Arial"/>
          <w:sz w:val="13"/>
          <w:szCs w:val="13"/>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2240" w:hanging="547"/>
        <w:spacing w:after="0"/>
        <w:tabs>
          <w:tab w:leader="none" w:pos="22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7" w:lineRule="exact"/>
        <w:rPr>
          <w:sz w:val="20"/>
          <w:szCs w:val="20"/>
          <w:color w:val="auto"/>
        </w:rPr>
      </w:pPr>
    </w:p>
    <w:p>
      <w:pPr>
        <w:ind w:right="660" w:firstLine="351"/>
        <w:spacing w:after="0" w:line="331" w:lineRule="auto"/>
        <w:rPr>
          <w:sz w:val="20"/>
          <w:szCs w:val="20"/>
          <w:color w:val="auto"/>
        </w:rPr>
      </w:pPr>
      <w:r>
        <w:rPr>
          <w:rFonts w:ascii="Arial" w:cs="Arial" w:eastAsia="Arial" w:hAnsi="Arial"/>
          <w:sz w:val="16"/>
          <w:szCs w:val="16"/>
          <w:color w:val="auto"/>
        </w:rPr>
        <w:t>In March 2012, we completed a registered public offering of our common shares and our common shares began trading on the NYSE. Our major shareholders have the same voting rights as our other shareholders. As of February 24, 2021, we had approximately 11,807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GasLog Partners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GasLog Partners was formed by us in January 2014 to acquire, own and operate LNG carriers engaged in LNG transportation under long-term charters, which we define as charters of five full years or more. In May 2014, the Partnership completed its initial public offering and its common units began trading on the NYSE.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On November 10, 2020, the Partnership announced its intention to engage with an independent advisor to assess its strategic alternatives. After a comprehensive analysis of the Partnership's corporate structure, assets, financial position, competitive environment and current and expected commercial market, it was concluded that:</w:t>
      </w:r>
    </w:p>
    <w:p>
      <w:pPr>
        <w:spacing w:after="0" w:line="207"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Partnership will maintain its current corporate structure with GasLog as its general partner;</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Partnership will continue to pursue an independent commercial and operational strategy of owning, operating, and acquiring LNG carriers;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Strategy remains an ongoing focus of our board of directors and we are open to entertaining all value-enhancing options for the business as we continue to reduce debt and enhance liquidity.</w:t>
      </w:r>
    </w:p>
    <w:p>
      <w:pPr>
        <w:spacing w:after="0" w:line="186"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Partnership conducts its operations through its vessel-owning subsidiaries and as of March 1, 2021, had a fleet of 15 LNG carriers. As of March 1, 2021, we hold a 35.3% ownership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Quarterly Cash Dividends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entitled to distributions on our general and limited partner interests in GasLog Partners. These interests consist of common units and general partner interests. Following a challenging number of years for capital markets in midstream energy, along with declining visibility in to the Partnership's future financial performance exacerbated by the COVID-19 pandemic related uncertainty in the near term LNG and LNG shipping markets, the Partnership's board of directors decided to reduce its quarterly cash distributions on common units to $0.01 per unit from the third quarter of 2020.</w:t>
      </w:r>
    </w:p>
    <w:p>
      <w:pPr>
        <w:spacing w:after="0" w:line="166"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received total distributions from GasLog Partners of $12.7 million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Partners and certain of its subsidiaries. The following discussion describes certain provisions of the omnibus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Noncompetition; Five-Year Vessel Restricted Business Opportunities</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185" w:lineRule="exact"/>
        <w:rPr>
          <w:sz w:val="20"/>
          <w:szCs w:val="20"/>
          <w:color w:val="auto"/>
        </w:rPr>
      </w:pPr>
    </w:p>
    <w:p>
      <w:pPr>
        <w:jc w:val="right"/>
        <w:ind w:left="5500" w:right="5460" w:hanging="4952"/>
        <w:spacing w:after="0" w:line="670" w:lineRule="auto"/>
        <w:tabs>
          <w:tab w:leader="none" w:pos="1096" w:val="left"/>
        </w:tabs>
        <w:numPr>
          <w:ilvl w:val="0"/>
          <w:numId w:val="80"/>
        </w:numPr>
        <w:rPr>
          <w:rFonts w:ascii="Arial" w:cs="Arial" w:eastAsia="Arial" w:hAnsi="Arial"/>
          <w:sz w:val="15"/>
          <w:szCs w:val="15"/>
          <w:color w:val="auto"/>
        </w:rPr>
      </w:pPr>
      <w:r>
        <w:rPr>
          <w:rFonts w:ascii="Arial" w:cs="Arial" w:eastAsia="Arial" w:hAnsi="Arial"/>
          <w:sz w:val="15"/>
          <w:szCs w:val="15"/>
          <w:color w:val="auto"/>
        </w:rPr>
        <w:t>acquiring, owning, operating or chartering Non-Five-Year Vessels;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we offer to sell the vessel to GasLog Partners for fair market value</w:t>
      </w:r>
    </w:p>
    <w:p>
      <w:pPr>
        <w:spacing w:after="0" w:line="38" w:lineRule="exact"/>
        <w:rPr>
          <w:rFonts w:ascii="Arial" w:cs="Arial" w:eastAsia="Arial" w:hAnsi="Arial"/>
          <w:sz w:val="16"/>
          <w:szCs w:val="16"/>
          <w:color w:val="auto"/>
        </w:rPr>
      </w:pPr>
    </w:p>
    <w:p>
      <w:pPr>
        <w:ind w:left="1340" w:hanging="252"/>
        <w:spacing w:after="0"/>
        <w:tabs>
          <w:tab w:leader="none" w:pos="13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promptly after the time it becomes a Five-Year Vessel and (y) at each renewal or extension of that charter for five full years or more;</w:t>
      </w:r>
    </w:p>
    <w:p>
      <w:pPr>
        <w:spacing w:after="0" w:line="25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256"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 other similar costs that we incur in connection with the acquisition and the transfer of such vessels to GasLog Partners separate from the acquired business; and</w:t>
      </w:r>
    </w:p>
    <w:p>
      <w:pPr>
        <w:spacing w:after="0" w:line="223"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398"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acquiring, owning, operating or chartering a Five-Year Vessel subject to the offers to GasLog Partners described in paragraphs (2), (3)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(4) above pending its determination whether to accept such offers and pending the closing of any offers it accepts;</w:t>
      </w:r>
    </w:p>
    <w:p>
      <w:pPr>
        <w:spacing w:after="0" w:line="232"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owning or operating any Five-Year Vessel that we owned on the closing date of GasLog Partners' IPO and that was not part of its fleet as of such date; or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GasLog Partners has previously advised us that it consents to such acquisition, ownership, operation or charter.</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under the omnibus agreement GasLog Partners has agreed, and has caused its subsidiaries to agree, to acquire, own, operate or charter Five-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 Vessels only. The restrictions in this paragraph will not:</w:t>
      </w:r>
    </w:p>
    <w:p>
      <w:pPr>
        <w:spacing w:after="0" w:line="232" w:lineRule="exact"/>
        <w:rPr>
          <w:sz w:val="20"/>
          <w:szCs w:val="20"/>
          <w:color w:val="auto"/>
        </w:rPr>
      </w:pPr>
    </w:p>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212"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370" w:lineRule="exact"/>
        <w:rPr>
          <w:rFonts w:ascii="Arial" w:cs="Arial" w:eastAsia="Arial" w:hAnsi="Arial"/>
          <w:sz w:val="16"/>
          <w:szCs w:val="16"/>
          <w:color w:val="auto"/>
        </w:rPr>
      </w:pPr>
    </w:p>
    <w:p>
      <w:pPr>
        <w:ind w:left="1620" w:right="80" w:hanging="532"/>
        <w:spacing w:after="0" w:line="256"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210" w:lineRule="exact"/>
        <w:rPr>
          <w:rFonts w:ascii="Arial" w:cs="Arial" w:eastAsia="Arial" w:hAnsi="Arial"/>
          <w:sz w:val="18"/>
          <w:szCs w:val="18"/>
          <w:color w:val="auto"/>
        </w:rPr>
      </w:pPr>
    </w:p>
    <w:p>
      <w:pPr>
        <w:ind w:left="1620" w:right="20" w:hanging="532"/>
        <w:spacing w:after="0" w:line="302" w:lineRule="auto"/>
        <w:tabs>
          <w:tab w:leader="none" w:pos="1620" w:val="left"/>
        </w:tabs>
        <w:numPr>
          <w:ilvl w:val="1"/>
          <w:numId w:val="84"/>
        </w:numPr>
        <w:rPr>
          <w:rFonts w:ascii="Arial" w:cs="Arial" w:eastAsia="Arial" w:hAnsi="Arial"/>
          <w:sz w:val="15"/>
          <w:szCs w:val="15"/>
          <w:color w:val="auto"/>
        </w:rPr>
      </w:pPr>
      <w:r>
        <w:rPr>
          <w:rFonts w:ascii="Arial" w:cs="Arial" w:eastAsia="Arial" w:hAnsi="Arial"/>
          <w:sz w:val="15"/>
          <w:szCs w:val="15"/>
          <w:color w:val="auto"/>
        </w:rPr>
        <w:t>if a majority or more of the value of the business or assets acquired is attributable to Non-Five-Year Vessels, as determined in good faith by GasLog Partners, the Partnership 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w:t>
      </w:r>
    </w:p>
    <w:p>
      <w:pPr>
        <w:spacing w:after="0" w:line="2"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6"/>
          <w:szCs w:val="16"/>
          <w:color w:val="auto"/>
        </w:rPr>
        <w:t>30 days, the Partnership may proceed with the acquisition and then offer to sell such vessels to us as provided in (a) above;</w:t>
      </w: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jc w:val="both"/>
        <w:ind w:left="1080" w:right="24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86" w:lineRule="exact"/>
        <w:rPr>
          <w:sz w:val="20"/>
          <w:szCs w:val="20"/>
          <w:color w:val="auto"/>
        </w:rPr>
      </w:pPr>
    </w:p>
    <w:p>
      <w:pPr>
        <w:ind w:right="480" w:firstLine="351"/>
        <w:spacing w:after="0" w:line="369" w:lineRule="auto"/>
        <w:rPr>
          <w:sz w:val="20"/>
          <w:szCs w:val="20"/>
          <w:color w:val="auto"/>
        </w:rPr>
      </w:pPr>
      <w:r>
        <w:rPr>
          <w:rFonts w:ascii="Arial" w:cs="Arial" w:eastAsia="Arial" w:hAnsi="Arial"/>
          <w:sz w:val="15"/>
          <w:szCs w:val="15"/>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11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on the date of the change of control.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 The Merger Agreement between GasLog and GEPIF will not result in a change of control of GasLog Partners due to the Rolling Shareholders maintaining the majority of the outstanding common shares of GasLog post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LNG Carrier Purchase Options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Under the omnibus agreement entered into with GasLog Partners and certain of its subsidiaries in connection with the Partnership's initial public offering, GasLog Partners has the option to purchase from us any LNG carrier with a cargo capacity greater than 75,000 cbm engaged in oceangoing LNG transportation under a charter for five full years or more, within 30 calendar days after the consummation of the acquisition or the commencement of the operations or charter of such a vessel.</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On January 12, 2018, GasLog entered into a shipbuilding contract with Samsung for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This vessel will now be the vessel to be chartered to Pioneer Shipping Limited, a wholly owned subsidiary of Centrica for an initial period of approximately seven years, as previously announced on October 20, 2016. Within 30 days of the commencement of the charter of the </w:t>
      </w:r>
      <w:r>
        <w:rPr>
          <w:rFonts w:ascii="Arial" w:cs="Arial" w:eastAsia="Arial" w:hAnsi="Arial"/>
          <w:sz w:val="16"/>
          <w:szCs w:val="16"/>
          <w:i w:val="1"/>
          <w:iCs w:val="1"/>
          <w:color w:val="auto"/>
        </w:rPr>
        <w:t>GasLog Windsor</w:t>
      </w:r>
      <w:r>
        <w:rPr>
          <w:rFonts w:ascii="Arial" w:cs="Arial" w:eastAsia="Arial" w:hAnsi="Arial"/>
          <w:sz w:val="16"/>
          <w:szCs w:val="16"/>
          <w:color w:val="auto"/>
        </w:rPr>
        <w:t>, we will be required to offer GasLog Partners the opportunity to purchase the vessel at fair market value as determined pursuant to the omnibus agreement.</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May 30, 2018, we signed an agreement with Centrica for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to be chartered to Centrica upon delivery in 2020 for an initial term of seven years. Within 30 days of the commencement of the charter of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we will be required to offer GasLog Partners the opportunity to purchase the vessel at fair market value as determined pursuant to the omnibus agreement. On August 16, 2018, we signed an agreement with Cheniere for the </w:t>
      </w:r>
      <w:r>
        <w:rPr>
          <w:rFonts w:ascii="Arial" w:cs="Arial" w:eastAsia="Arial" w:hAnsi="Arial"/>
          <w:sz w:val="16"/>
          <w:szCs w:val="16"/>
          <w:i w:val="1"/>
          <w:iCs w:val="1"/>
          <w:color w:val="auto"/>
        </w:rPr>
        <w:t xml:space="preserve">GasLog Georgetown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Galveston </w:t>
      </w:r>
      <w:r>
        <w:rPr>
          <w:rFonts w:ascii="Arial" w:cs="Arial" w:eastAsia="Arial" w:hAnsi="Arial"/>
          <w:sz w:val="16"/>
          <w:szCs w:val="16"/>
          <w:color w:val="auto"/>
        </w:rPr>
        <w:t>to be chartered to Cheniere upon delivery in 2020 for initial terms of seven years. Furthermore,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21, 2018, we signed two additional agreements with Cheniere for newbuildings Hull Nos. 2311 and 2312 to be chartered to Cheniere upon delivery in 2021 for initial terms of seven years. Within 30 days of the commencement of each of the charters, we will be required to offer GasLog Partners the opportunity to purchase the vessel at fair market value as determined pursuant to the omnibus agreement.</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On March 15, 2019, we signed an agreement with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to be chartered to Endesa from May 2021 for an initial term of eight years. Within 30 days of the commencement of the charter of the </w:t>
      </w:r>
      <w:r>
        <w:rPr>
          <w:rFonts w:ascii="Arial" w:cs="Arial" w:eastAsia="Arial" w:hAnsi="Arial"/>
          <w:sz w:val="18"/>
          <w:szCs w:val="18"/>
          <w:i w:val="1"/>
          <w:iCs w:val="1"/>
          <w:color w:val="auto"/>
        </w:rPr>
        <w:t>GasLog Warsaw</w:t>
      </w:r>
      <w:r>
        <w:rPr>
          <w:rFonts w:ascii="Arial" w:cs="Arial" w:eastAsia="Arial" w:hAnsi="Arial"/>
          <w:sz w:val="18"/>
          <w:szCs w:val="18"/>
          <w:color w:val="auto"/>
        </w:rPr>
        <w:t>,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On March 28, 2019, we signed an agreement with JERA for the </w:t>
      </w:r>
      <w:r>
        <w:rPr>
          <w:rFonts w:ascii="Arial" w:cs="Arial" w:eastAsia="Arial" w:hAnsi="Arial"/>
          <w:sz w:val="18"/>
          <w:szCs w:val="18"/>
          <w:i w:val="1"/>
          <w:iCs w:val="1"/>
          <w:color w:val="auto"/>
        </w:rPr>
        <w:t>GasLog Wales to</w:t>
      </w:r>
      <w:r>
        <w:rPr>
          <w:rFonts w:ascii="Arial" w:cs="Arial" w:eastAsia="Arial" w:hAnsi="Arial"/>
          <w:sz w:val="18"/>
          <w:szCs w:val="18"/>
          <w:color w:val="auto"/>
        </w:rPr>
        <w:t xml:space="preserve"> be chartered to JERA upon delivery in 2020 for an initial term of twelve years. Within 30 days of the commencement of the charter of Hull No. 2274,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On August 27, 2019, we signed an agreement with Sinolam for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vessel is expected to commence its charter to Sinolam after the vessel's dry-docking and conversion to an FSU. Within 30 days of the commencement of the charter of the </w:t>
      </w:r>
      <w:r>
        <w:rPr>
          <w:rFonts w:ascii="Arial" w:cs="Arial" w:eastAsia="Arial" w:hAnsi="Arial"/>
          <w:sz w:val="16"/>
          <w:szCs w:val="16"/>
          <w:i w:val="1"/>
          <w:iCs w:val="1"/>
          <w:color w:val="auto"/>
        </w:rPr>
        <w:t>GasLog Singapore</w:t>
      </w:r>
      <w:r>
        <w:rPr>
          <w:rFonts w:ascii="Arial" w:cs="Arial" w:eastAsia="Arial" w:hAnsi="Arial"/>
          <w:sz w:val="16"/>
          <w:szCs w:val="16"/>
          <w:color w:val="auto"/>
        </w:rPr>
        <w:t>, we will be required to offer GasLog Partners the opportunity to purchase the vessel at fair market value as determined pursuant to the omnibus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each case, 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6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 subsidiaries or pursuant to the terms of any current or future charter or other agreement with a charter party or (ii) merger with or into, or sale of substantially all of the assets to, an unaffiliated third party.</w:t>
      </w:r>
    </w:p>
    <w:p>
      <w:pPr>
        <w:spacing w:after="0" w:line="16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17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on the date of the change of control. On the date on which a majority of GasLog Partners' directors ceases to consist of directors that were (i) appointed by the Partnership's general partner prior to its first annual meeting of unitholders and (ii) recommended for election by a majority of the Partnership's appointed directors, the provisions related to the rights of first offer granted to the Partnership by us shall terminate immediately.</w:t>
      </w:r>
    </w:p>
    <w:p>
      <w:pPr>
        <w:spacing w:after="0" w:line="16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 million on the amount of indemnity coverage provided by us for environmental and toxic tort liabilities. No claim may be made unless the aggregate dollar amount of all claims exceeds $500,000, in which case we are liable for claims only to the extent such aggregate amount exceeds $500,000.</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also indemnify GasLog Partners for liabilities related to:</w:t>
      </w:r>
    </w:p>
    <w:p>
      <w:pPr>
        <w:spacing w:after="0" w:line="239" w:lineRule="exact"/>
        <w:rPr>
          <w:sz w:val="20"/>
          <w:szCs w:val="20"/>
          <w:color w:val="auto"/>
        </w:rPr>
      </w:pPr>
    </w:p>
    <w:p>
      <w:pPr>
        <w:ind w:left="1080" w:right="24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220"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tax liabilities attributable to the operation of the assets contributed or sold to the Partnership prior to the time they were contributed or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 Agreement</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32" w:lineRule="exact"/>
        <w:rPr>
          <w:rFonts w:ascii="Arial" w:cs="Arial" w:eastAsia="Arial" w:hAnsi="Arial"/>
          <w:sz w:val="16"/>
          <w:szCs w:val="16"/>
          <w:color w:val="auto"/>
        </w:rPr>
      </w:pPr>
    </w:p>
    <w:p>
      <w:pPr>
        <w:ind w:left="1080" w:right="2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ind w:left="1080" w:right="220" w:hanging="532"/>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220"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April 4, 2012, we entered into a registration rights agreement with certain of our shareholders,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w:t>
      </w:r>
    </w:p>
    <w:p>
      <w:pPr>
        <w:spacing w:after="0" w:line="173"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On June 22, 2020, we entered into a registration rights agreement with certain of our shareholders,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for a concurrent private placement of 2,317,460 common shares at a price of $15.75 per share.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June 22, 2020, we entered into subscription agreements with certain of our directors and affiliates amongst others for a private placement of 14,400,000 common shares at a price of $2.50 per share. Approximately 75% of shares issued in the Private Placement were purchased by GasLog's directors and affiliates, including 6,500,000 common shares purchased by Blenheim Holdings Ltd., wholly-owned by the Livanos family and 4,000,000 common shares purchased by a wholly-owned affiliate of the Onassis Foundation.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Space and Related Arrangements</w:t>
      </w:r>
    </w:p>
    <w:p>
      <w:pPr>
        <w:spacing w:after="0" w:line="231" w:lineRule="exact"/>
        <w:rPr>
          <w:sz w:val="20"/>
          <w:szCs w:val="20"/>
          <w:color w:val="auto"/>
        </w:rPr>
      </w:pPr>
    </w:p>
    <w:p>
      <w:pPr>
        <w:ind w:right="320" w:firstLine="348"/>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4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 LNG</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We have a 25.0% ownership interest in Egypt LNG, whose principal asset is the LNG carrier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which is currently operating under a 20-year time charter with a subsidiary of Shell. Through our subsidiary GasLog LNG Services, we supervised the construction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which was delivered from the shipyard in 2007. Pursuant to a ship management agreement between GasLog LNG Services and Egypt LNG, the vessel has operated under our technical management since its delivery. From January 1, 2020 to December 31, 2020, we received a total of approximately $0.7 million in revenues from Egypt LNG in respect of our vessel management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Agreements</w:t>
      </w:r>
    </w:p>
    <w:p>
      <w:pPr>
        <w:spacing w:after="0" w:line="231"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16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GasLog entered into a consulting agreement for the services of an employee of Ceres Monaco S.A.M., an entity controlled by the Livanos family, for consultancy services in connection with the acquisition of GasLog's shareholding in Gastrade and the ongoing work on the development of the Alexandroupolis FSRU project. GasLog agreed to pay a fixed fee for work carried out between May 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2016 and December 31, 2017 in the sum of $100,000 and an ongoing consultancy arrangement fee of $12,000 per month for a minimum of 12 days per month, which was terminated on December 31, 2020.</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December 2020, GasLog and GasLog Partners reached agreement with Ceres Shipping Enterprises S.A. ("Ceres Shipping Enterprises"), an entity controlled by the Livanos family, to pay a fee of US$1.0M to Ceres Shipping Enterprises in consideration of the provision of services provided by employees of Ceres Shipping Enterprises in support of the refinancing of all GasLog and GasLog Partners bank debt maturities due in 2021. The US$1.0M fee was paid 60% by GasLog and 40% by GasLog Partners.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February 2021, GasLog agreed with Ceres Shipping Enterprises that if GasLog proceeds with the refinancing of the 8.875% Senior Notes due 2022, Ceres Shipping Enterprises will receive a fee equal to 10% of the total fees paid by the Company to investment banks in the refinancing process. The fee payable to Ceres Shipping Enterprises will be in consideration of the provision of services provided by employees of Ceres Shipping Enterprises in support of the refinancing.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On November 27, 2018, we entered into an agreement with GasLog Partners to modify the partnership agreement with respect to the IDRs. The modification reduced the distributions of cash upon liquidation and the general partner's IDRs on quarterly distributions above $0.5625 per unit from 48% to 23%. We further agreed to waive IDR payments resulting from any asset or business acquired by GasLog Partners from a third party. In exchange for these modifications, we entered into an agreement among GasLog Partners and GasLog Partners GP LLC under which we received $25.0 million from GasLog Partners.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24, 2019, we entered into an agreement with GasLog Partners to amend the Partnership Agreement to eliminate the IDRs in exchange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issuance by the Partnership to GasLog of 2,532,911 common units and 2,490,000 Class B units (of which 415,000 are Class B-1 units, 415,000 are Class B-2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units, 415,000 are Class B-3 units, 415,000 are Class B-4 units, 415,000 are Class B-5 units and 415,000 are Class B-6 units), issued on June 30, 2019. Class 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units have all of the rights and obligations attached to the common units, except for voting rights and participation in distributions until such time as 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exercises its right to convert the Class B units to common units. The Class B units will become eligible for conversion on a one-for-one basis into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at GasLog's option on July 1, 2020, July 1, 2021, July 1, 2022, July 1, 2023, July 1, 2024 and July 1, 2025 for the Class B-1 units, Class B-2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B-3 units, Class B-4 units, Class B-5 units and the Class B-6 units, respectively. Following the IDR elimination, the allocation of GasLog's profit to non-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controlling interests is based on the revised distribution policy for available cash stated in the Partnership Agreement as amended, effective June 30, 2019,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under which 98.0% of the available cash is distributed to the common unitholders and 2.0% is distributed to the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February 22, 2021, we announced that GasLog had entered into a Merger Agreement with GEPIF. Under the Merger Agreement, GEPIF will acquire all of the outstanding common shares of GasLog that are not held by the Rolling Shareholders of GasLog in exchange for $5.80 in cash per common share (the "Merger Consideration"). Immediately following the completion of the Transaction, the Rolling Shareholders will continue to hold approximately 55% of the outstanding common shares of GasLog and GEPIF will hold approximately 45%. Promptly after completion of the Transaction, the common shares of GasLog will be delisted from the NYSE.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Transaction is expected to close in the second quarter of 2021, subject to approval of the Transaction by GasLog shareholders at a special meeting, including by a majority of the shares held by the non-Rolling Shareholders present at the shareholders meeting that will be held in connection with the Transaction, and the satisfaction or waiver of certain customary closing conditions. GasLog's preference shares shall remain outstanding and continue to trade on the NYSE immediately following the completion of the Transaction.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connection with the Transaction we entered into a Rolling Shareholders Agreement (the "Rollover Agreement") with the Rolling Shareholders which include Blenheim Holdings, which is wholly owned by the Livanos family, and a wholly owned affiliate of the Onassis Foundation. Under the terms of the Rollover Agreement the Rolling Shareholders waive any claim to receive the Merger Consideration for the Rollover Shares as defined in the Rollover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description of additional related party transactions, see Note 21 to our consolidated financial statements included elsewhere in this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Related Party Transactions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Requirements</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$0.546875 per share on, January 2, 2020, April 1, 2020, July 1, 2020, October 1, 2020 and January 4, 2021. Our Preference Shares dividend payment obligations impact our future liquidity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Dividend Policy</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28,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30,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The declaration and payment of any dividend is subject to the discretion of our board of directors and the requirements of Bermuda law. In addition, certain of our credit facilities impose limitations on our ability to pay dividends. Our board of directors will determine the timing and amount of all dividend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—Risks Related to Our Business" for a discussion of risks related to our ability to pay dividends.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out below is a table showing the dividends declared on our common shares in 2016, 2017, 2018, 2019 and 2020 and on our Preference Shares in 2016, 2017, 2018, 2019 and 2020.</w:t>
      </w:r>
    </w:p>
    <w:p>
      <w:pPr>
        <w:spacing w:after="0" w:line="235" w:lineRule="exact"/>
        <w:rPr>
          <w:sz w:val="20"/>
          <w:szCs w:val="20"/>
          <w:color w:val="auto"/>
        </w:rPr>
      </w:pPr>
    </w:p>
    <w:p>
      <w:pPr>
        <w:jc w:val="center"/>
        <w:ind w:left="45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25800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left="6020"/>
        <w:spacing w:after="0"/>
        <w:tabs>
          <w:tab w:leader="none" w:pos="6680" w:val="left"/>
          <w:tab w:leader="none" w:pos="7380" w:val="left"/>
          <w:tab w:leader="none" w:pos="8060" w:val="left"/>
          <w:tab w:leader="none" w:pos="8740" w:val="left"/>
          <w:tab w:leader="none" w:pos="948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0</wp:posOffset>
            </wp:positionV>
            <wp:extent cx="25800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3"/>
          <w:szCs w:val="13"/>
          <w:b w:val="1"/>
          <w:bCs w:val="1"/>
          <w:color w:val="auto"/>
        </w:rPr>
        <w:t>(Expressed in millions of U.S. dollars)</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dividend declared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275.0</w:t>
            </w:r>
          </w:p>
        </w:tc>
      </w:tr>
      <w:tr>
        <w:trPr>
          <w:trHeight w:val="222"/>
        </w:trPr>
        <w:tc>
          <w:tcPr>
            <w:tcW w:w="3620" w:type="dxa"/>
            <w:vAlign w:val="bottom"/>
          </w:tcPr>
          <w:p>
            <w:pPr>
              <w:ind w:left="20"/>
              <w:spacing w:after="0"/>
              <w:rPr>
                <w:sz w:val="20"/>
                <w:szCs w:val="20"/>
                <w:color w:val="auto"/>
              </w:rPr>
            </w:pPr>
            <w:r>
              <w:rPr>
                <w:rFonts w:ascii="Arial" w:cs="Arial" w:eastAsia="Arial" w:hAnsi="Arial"/>
                <w:sz w:val="18"/>
                <w:szCs w:val="18"/>
                <w:color w:val="auto"/>
              </w:rPr>
              <w:t>Preference share dividend declared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50.5</w:t>
            </w:r>
          </w:p>
        </w:tc>
      </w:tr>
    </w:tbl>
    <w:p>
      <w:pPr>
        <w:spacing w:after="0" w:line="195"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Statements—Note 30.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NYSE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IPO in the United States in 2012, our common shares have been listed on the NYSE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Preference Shares have been trading on the NYSE under the symbol "GLOG PR A" since March 31, 2015.</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Our authorized share capital consists of 500,000,000 shares, par value $0.01 per share. As of December 31, 2020, the share capital consisted of 95,393,126 issued and outstanding common shares, par value $0.01 per share, 216,683 treasury shares and 4,600,000 issued and outstanding Preference Shares.</w:t>
      </w:r>
    </w:p>
    <w:p>
      <w:pPr>
        <w:spacing w:after="0" w:line="118"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42"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objects of our business are unrestricted, and the Company has the capacity of a natural person. We can therefore undertake activities without restriction on our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Holders of our common shares have no pre-emptive, redemption, conversion or sinking fund rights. Holders of our common shares are entitled to one vote per share on all matters submitted to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86"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60"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cash dividends payable to holders of our common shares listed on the NYSE will be paid to American Stock Transfer &amp; Trust Company, LLC, our transfer agent in the United States for disbursement to those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at any time we have more than one class of shares, the rights attaching to any class, unless otherwise provided for by the terms of issue of the relevant class, may be varied with the sanction of a resolution passed by a majority of the issued shares of such class. Our bye-laws specify that the creation or issue of shares ranking equally with existing shares will not, unless expressly provided by the terms of issue of existing shares, vary the rights attached to existing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 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one or more persons present in person throughout the meeting and representing in person or by proxy in excess of 50.0% of all issued and outstanding common shares.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bye-laws provide that our board shall consist of no less than three directors and no more than fifteen directors, as the board of directors may from time to time determine. Our board of directors consists of nine directors.</w:t>
      </w:r>
    </w:p>
    <w:p>
      <w:pPr>
        <w:spacing w:after="0" w:line="186" w:lineRule="exact"/>
        <w:rPr>
          <w:sz w:val="20"/>
          <w:szCs w:val="20"/>
          <w:color w:val="auto"/>
        </w:rPr>
      </w:pPr>
    </w:p>
    <w:p>
      <w:pPr>
        <w:jc w:val="both"/>
        <w:ind w:right="120" w:firstLine="341"/>
        <w:spacing w:after="0" w:line="256" w:lineRule="auto"/>
        <w:rPr>
          <w:sz w:val="20"/>
          <w:szCs w:val="20"/>
          <w:color w:val="auto"/>
        </w:rPr>
      </w:pPr>
      <w:r>
        <w:rPr>
          <w:rFonts w:ascii="Arial" w:cs="Arial" w:eastAsia="Arial" w:hAnsi="Arial"/>
          <w:sz w:val="18"/>
          <w:szCs w:val="18"/>
          <w:color w:val="auto"/>
        </w:rPr>
        <w:t>Any shareholder wishing to propose for election as a director someone who is not an existing director or is not proposed by our board must give notice of the intention to propose the person for election. Where a director is to be elected at an annual general meeting, that notice must be given not less than 90 days nor more than 120 days before the anniversary of the last annual general meeting prior to the giving of the notice or, in the event the annual general meeting is called for a date that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not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that notice must be given not later than 10 days following the earlier of the date on which notice of the special general meeting was posted to shareholders or the date on which public disclosure of the date of the special general meeting was made.</w:t>
      </w:r>
    </w:p>
    <w:p>
      <w:pPr>
        <w:spacing w:after="0" w:line="166"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 director may be removed by the shareholders, provided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or her removal.</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231" w:lineRule="exact"/>
        <w:rPr>
          <w:sz w:val="20"/>
          <w:szCs w:val="20"/>
          <w:color w:val="auto"/>
        </w:rPr>
      </w:pPr>
    </w:p>
    <w:p>
      <w:pPr>
        <w:ind w:right="240" w:firstLine="351"/>
        <w:spacing w:after="0" w:line="369" w:lineRule="auto"/>
        <w:rPr>
          <w:sz w:val="20"/>
          <w:szCs w:val="20"/>
          <w:color w:val="auto"/>
        </w:rPr>
      </w:pPr>
      <w:r>
        <w:rPr>
          <w:rFonts w:ascii="Arial" w:cs="Arial" w:eastAsia="Arial" w:hAnsi="Arial"/>
          <w:sz w:val="15"/>
          <w:szCs w:val="15"/>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1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remuneration of our directors is determined by the board of directors, and there is no requirement that a specified number or percentage of "independent" directors must approve any such determination. Our directors may also be paid all travel, hotel and other expenses properly incurred by them in connection with our business or their duties as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Conflicts of Interest</w:t>
      </w:r>
    </w:p>
    <w:p>
      <w:pPr>
        <w:spacing w:after="0" w:line="231"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Any conflict of interest question involving one or more of the Company's directors will be resolved by the audit and risk committee of the board of directors.</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affirmative votes of at least a majority of all issued and outstanding shares.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Mergers and Business Combinations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provide that a merger or an amalgamation must only be approved by the affirmative votes of a majority of the votes attaching to all issued and outstanding shares entitling the shareholder to vote on such resolutions.</w:t>
      </w:r>
    </w:p>
    <w:p>
      <w:pPr>
        <w:spacing w:after="0" w:line="198"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69"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 and Forfeiture</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 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97"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Bermuda Monetary Authority has given its consent for the issue and free transferability of all our common shares to and between non-residents of Bermuda for exchange control purposes, provided that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5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207" w:lineRule="exact"/>
        <w:rPr>
          <w:sz w:val="20"/>
          <w:szCs w:val="20"/>
          <w:color w:val="auto"/>
        </w:rPr>
      </w:pPr>
    </w:p>
    <w:p>
      <w:pPr>
        <w:ind w:left="1080" w:right="220" w:hanging="532"/>
        <w:spacing w:after="0" w:line="33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Registration Rights Agreement among GasLog Ltd. and the shareholders named therein, dated as of April 4, 2012; please see "Item 7. Major Shareholders and Related Party Transactions—B. Related Party Transactions—Registration Rights Agreement".</w:t>
      </w:r>
    </w:p>
    <w:p>
      <w:pPr>
        <w:spacing w:after="0" w:line="167"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Appendix to the Private Agreement of Professional Hiring (English translation), dated December 1, 2010 and October 1, 2011, between Nea Dimitra Ktimatikh Kai Emporikh S.A. and GasLog LNG Services Ltd.; please see "Item 7. Major Shareholders and Related Party Transactions —B. Related Party Transactions—Office Space and Related Arrangements".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199"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67" w:lineRule="exact"/>
        <w:rPr>
          <w:rFonts w:ascii="Arial" w:cs="Arial" w:eastAsia="Arial" w:hAnsi="Arial"/>
          <w:sz w:val="16"/>
          <w:szCs w:val="16"/>
          <w:color w:val="auto"/>
        </w:rPr>
      </w:pPr>
    </w:p>
    <w:p>
      <w:pPr>
        <w:ind w:left="1080" w:right="96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GasLog Ltd. 2013 Omnibus Incentive Compensation Plan; please see "Item 6. Directors, Senior Management and Employees—B. Compensation of Directors and Senior Management—Equity Compensation Plans".</w:t>
      </w:r>
    </w:p>
    <w:p>
      <w:pPr>
        <w:spacing w:after="0" w:line="19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 please see "Item 5. Operating and Financial Review and Prospects—B. Liquidity and Capital Resources—Credit Facilities".</w:t>
      </w:r>
    </w:p>
    <w:p>
      <w:pPr>
        <w:spacing w:after="0" w:line="186"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 B. Liquidity and Capital Resources—Credit Facilities".</w:t>
      </w:r>
    </w:p>
    <w:p>
      <w:pPr>
        <w:spacing w:after="0" w:line="200"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Form of Corporate Guarantee between GasLog Ltd. and DNB Bank ASA, London Branch (provided in respect of the Senior Facility Agreement, dated February 18, 2016); please see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"Item 5. Operating and Financial Review and Prospects—B. Liquidity and Capital Resources—Credit Facilities".</w:t>
      </w:r>
    </w:p>
    <w:p>
      <w:pPr>
        <w:spacing w:after="0" w:line="239" w:lineRule="exact"/>
        <w:rPr>
          <w:sz w:val="20"/>
          <w:szCs w:val="20"/>
          <w:color w:val="auto"/>
        </w:rPr>
      </w:pPr>
    </w:p>
    <w:p>
      <w:pPr>
        <w:ind w:left="1080" w:right="12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Senior Facility Agreement, dated February 18, 2016); please see "Item 5. Operating and Financial Review and Prospects—B. Liquidity and Capital Resources —Credit Facilities".</w:t>
      </w:r>
    </w:p>
    <w:p>
      <w:pPr>
        <w:spacing w:after="0" w:line="220" w:lineRule="exact"/>
        <w:rPr>
          <w:rFonts w:ascii="Arial" w:cs="Arial" w:eastAsia="Arial" w:hAnsi="Arial"/>
          <w:sz w:val="18"/>
          <w:szCs w:val="18"/>
          <w:color w:val="auto"/>
        </w:rPr>
      </w:pPr>
    </w:p>
    <w:p>
      <w:pPr>
        <w:ind w:left="1080" w:right="180" w:hanging="532"/>
        <w:spacing w:after="0" w:line="29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 Bank America N.V. as arranger with Nordea Bank AB, London Branch as agent and security agent; please see "Item 5. Operating and Financial Review and Prospects—B. Liquidity and Capital Resources—Credit Facilities".</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18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Exchange Agreement among GasLog Partners LP, GasLog Partners GP LLC and GasLog Ltd. dated June 24, 2019; please see "Item 7. Major Shareholders and Related Party Transactions—B. Related Party Transactions—Exchange Agreement".</w:t>
      </w:r>
    </w:p>
    <w:p>
      <w:pPr>
        <w:spacing w:after="0" w:line="21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Facility Agreement dated June 25, 2019, relating to $130,000,000 Term Loan Facility among GasLog Hellas-1 Special Maritime Enterprise as Borrower, ABN Amro Bank N.V. and Oversea-Chinese Banking Corporation Limited as mandated lead arrangers and ABN Amro Bank N.V. as agent and the security agent; please see "Item 5. Operating and Financial Review and Prospects—B. Liquidity and Capital Resources—Credit Facilities".</w:t>
      </w:r>
    </w:p>
    <w:p>
      <w:pPr>
        <w:spacing w:after="0" w:line="210" w:lineRule="exact"/>
        <w:rPr>
          <w:sz w:val="20"/>
          <w:szCs w:val="20"/>
          <w:color w:val="auto"/>
        </w:rPr>
      </w:pPr>
    </w:p>
    <w:p>
      <w:pPr>
        <w:ind w:left="1080" w:right="300" w:hanging="532"/>
        <w:spacing w:after="0" w:line="369" w:lineRule="auto"/>
        <w:tabs>
          <w:tab w:leader="none" w:pos="10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Form of Corporate Guarantee between GasLog Ltd. and ABN Amro Bank N.V. (provided in respect of the GasLog Warsaw Facility, dated June 25, 2019); please see "Item 5. Operating and Financial Review and Prospects—B. Liquidity and Capital Resources—Credit Facilities".</w:t>
      </w:r>
    </w:p>
    <w:p>
      <w:pPr>
        <w:spacing w:after="0" w:line="131" w:lineRule="exact"/>
        <w:rPr>
          <w:rFonts w:ascii="Arial" w:cs="Arial" w:eastAsia="Arial" w:hAnsi="Arial"/>
          <w:sz w:val="15"/>
          <w:szCs w:val="15"/>
          <w:color w:val="auto"/>
        </w:rPr>
      </w:pPr>
    </w:p>
    <w:p>
      <w:pPr>
        <w:ind w:left="1080" w:right="20" w:hanging="532"/>
        <w:spacing w:after="0" w:line="288"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color w:val="auto"/>
        </w:rPr>
        <w:t>London Branch and DNB (UK) Ltd., as Global Co-ordinators and GasLog Ltd., GasLog Carriers Ltd., GasLog Partners LP and GasLog Partners Holdings LLC as Guarantors; please see "Item 5. Operating and Financial Review and Prospects—B. Liquidity and Capital Resources —Credit Facilities".</w:t>
      </w:r>
    </w:p>
    <w:p>
      <w:pPr>
        <w:spacing w:after="0" w:line="207" w:lineRule="exact"/>
        <w:rPr>
          <w:sz w:val="20"/>
          <w:szCs w:val="20"/>
          <w:color w:val="auto"/>
        </w:rPr>
      </w:pPr>
    </w:p>
    <w:p>
      <w:pPr>
        <w:ind w:left="1080" w:right="220" w:hanging="532"/>
        <w:spacing w:after="0" w:line="33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Registration Rights Agreement among GasLog Ltd. and the shareholders named therein, dated as of June 22, 2020; please see "Item 7. Major Shareholders and Related Party Transactions—B. Related Party Transactions—Registration Rights Agreement".</w:t>
      </w:r>
    </w:p>
    <w:p>
      <w:pPr>
        <w:spacing w:after="0" w:line="167" w:lineRule="exact"/>
        <w:rPr>
          <w:rFonts w:ascii="Arial" w:cs="Arial" w:eastAsia="Arial" w:hAnsi="Arial"/>
          <w:sz w:val="16"/>
          <w:szCs w:val="16"/>
          <w:color w:val="auto"/>
        </w:rPr>
      </w:pPr>
    </w:p>
    <w:p>
      <w:pPr>
        <w:ind w:left="1080" w:right="120" w:hanging="532"/>
        <w:spacing w:after="0" w:line="25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Facility Agreement dated July 16, 2020, relating to $576,887,500 loan facility among GAS-one Ltd., GAS-two Ltd., GAS-six Ltd., GAS-nine Ltd., GAS-ten Ltd. and GAS-eighteen Ltd. as borrowers, ABN Amro Bank N.V., Citigroup Global Markets Limited, Nordea Bank ABP, Filial I Norge and HSBC Bank PLC as mandated lead arrangers and Credit Agricole Corporate and Investment Bank, Unicredit Bank AG and National Australia Bank Limited as arrangers, with ABN Amro Bank N.V. as agent and security agent and ABN Amro Bank N.V., Citigroup Global Markets Limited and Nordea Bank ABO, Filial I Norge as bookrunners, guaranteed by GasLog Ltd., GasLog Carriers Ltd., GasLog Partners LP and GasLog Partners Holdings LLC; please see "Item 5. Operating and Financial Review and Prospects—B. Liquidity and Capital Resources—Credit Facilities".</w:t>
      </w:r>
    </w:p>
    <w:p>
      <w:pPr>
        <w:spacing w:after="0" w:line="214"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Resources—Credit Facilities".</w:t>
      </w:r>
    </w:p>
    <w:p>
      <w:pPr>
        <w:spacing w:after="0" w:line="179" w:lineRule="exact"/>
        <w:rPr>
          <w:rFonts w:ascii="Arial" w:cs="Arial" w:eastAsia="Arial" w:hAnsi="Arial"/>
          <w:sz w:val="16"/>
          <w:szCs w:val="16"/>
          <w:color w:val="auto"/>
        </w:rPr>
      </w:pPr>
    </w:p>
    <w:p>
      <w:pPr>
        <w:ind w:left="1080" w:right="20" w:hanging="532"/>
        <w:spacing w:after="0" w:line="283"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Facility Agreement dated July 16, 2020, relating to $200,000,000 loan facility among GAS-twenty seven Ltd., GAS-twenty one Ltd. and GAS-nineteen Ltd., as borrowers, DNB (UK) Ltd. and ING Bank N.V., London Branch, as mandated lead arrangers, with DNB Bank ASA, London Branch as agent and security agent, DNB (UK) Ltd. and ING Bank N.V., London Branch as bookrunners and ING Bank N.V, London Branch as structuring and documentation bank, guaranteed by GasLog Partners LP, GasLog Partners Holdings LLC, GasLog Ltd. and GasLog</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Carriers Ltd.; please see "Item 5. Operating and Financial Review and Prospects—B. Liquidity and Capital Resources—Credit Facilities".</w:t>
      </w:r>
    </w:p>
    <w:p>
      <w:pPr>
        <w:spacing w:after="0" w:line="268"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Facility Agreement dated July 30, 2020, relating to a $96,800,000 loan facility among GAS-fifteen Ltd. as Borrower and National Bank of Greece S.A. as Arranger, Agent and Security Agent, guaranteed by GasLog Ltd. and GasLog Carriers Ltd.; please see "Item 5. Operating and Financial Review and Prospects—B. Liquidity and Capital Resources—Credit Facilities".</w:t>
      </w:r>
    </w:p>
    <w:p>
      <w:pPr>
        <w:spacing w:after="0" w:line="207" w:lineRule="exact"/>
        <w:rPr>
          <w:rFonts w:ascii="Arial" w:cs="Arial" w:eastAsia="Arial" w:hAnsi="Arial"/>
          <w:sz w:val="18"/>
          <w:szCs w:val="18"/>
          <w:color w:val="auto"/>
        </w:rPr>
      </w:pPr>
    </w:p>
    <w:p>
      <w:pPr>
        <w:ind w:left="1080" w:right="220" w:hanging="532"/>
        <w:spacing w:after="0" w:line="369" w:lineRule="auto"/>
        <w:tabs>
          <w:tab w:leader="none" w:pos="10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Agreement and Plan of Merger dated February 21, 2021 among GasLog Ltd., GEPIF III Crown Bidco L.P. and GEPIF III Crown MergerCo Limited see Item 7. Major Shareholders and Related Party Transactions—B. Related Party Transactions—Merger and Rollover Agreements".</w:t>
      </w:r>
    </w:p>
    <w:p>
      <w:pPr>
        <w:spacing w:after="0" w:line="131" w:lineRule="exact"/>
        <w:rPr>
          <w:rFonts w:ascii="Arial" w:cs="Arial" w:eastAsia="Arial" w:hAnsi="Arial"/>
          <w:sz w:val="15"/>
          <w:szCs w:val="15"/>
          <w:color w:val="auto"/>
        </w:rPr>
      </w:pPr>
    </w:p>
    <w:p>
      <w:pPr>
        <w:ind w:left="1080" w:right="40" w:hanging="532"/>
        <w:spacing w:after="0" w:line="33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Rollover Agreement dated February 21, 2021 among GasLog Ltd., GEPIF III Crown Bidco L.P. and the Rolling Shareholders see Item 7. Major Shareholders and Related Party Transactions—B. Related Party Transactions—Merger and Rollover Agreements".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 and Other Limitations Affecting Security Holders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86"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6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14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Operating Income</w:t>
      </w:r>
    </w:p>
    <w:p>
      <w:pPr>
        <w:spacing w:after="0" w:line="225" w:lineRule="exact"/>
        <w:rPr>
          <w:sz w:val="20"/>
          <w:szCs w:val="20"/>
          <w:color w:val="auto"/>
        </w:rPr>
      </w:pPr>
    </w:p>
    <w:p>
      <w:pPr>
        <w:ind w:right="520" w:firstLine="348"/>
        <w:spacing w:after="0" w:line="369" w:lineRule="auto"/>
        <w:rPr>
          <w:sz w:val="20"/>
          <w:szCs w:val="20"/>
          <w:color w:val="auto"/>
        </w:rPr>
      </w:pPr>
      <w:r>
        <w:rPr>
          <w:rFonts w:ascii="Arial" w:cs="Arial" w:eastAsia="Arial" w:hAnsi="Arial"/>
          <w:sz w:val="15"/>
          <w:szCs w:val="15"/>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6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Federal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213" w:lineRule="exact"/>
        <w:rPr>
          <w:sz w:val="20"/>
          <w:szCs w:val="20"/>
          <w:color w:val="auto"/>
        </w:rPr>
      </w:pPr>
    </w:p>
    <w:p>
      <w:pPr>
        <w:ind w:left="1080" w:right="34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220" w:lineRule="exact"/>
        <w:rPr>
          <w:rFonts w:ascii="Arial" w:cs="Arial" w:eastAsia="Arial" w:hAnsi="Arial"/>
          <w:sz w:val="18"/>
          <w:szCs w:val="18"/>
          <w:color w:val="auto"/>
        </w:rPr>
      </w:pPr>
    </w:p>
    <w:p>
      <w:pPr>
        <w:ind w:left="1620" w:hanging="532"/>
        <w:spacing w:after="0" w:line="331" w:lineRule="auto"/>
        <w:tabs>
          <w:tab w:leader="none" w:pos="16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4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have qualified for the statutory tax exemption for the year of 2019 and intend to continue to qualify for the foreseeable future. However, no assurance can be given that this will be the case. If we are not entitled to this exemption under Section 883 for any taxable year we would be subject to the 4% U.S. Federal income (subject to the discussion of "effectively connected income" below).</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 the extent the exemption under Section 883 is unavailable,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certain adjustments, and on certain interest paid or deemed paid attributable to the conduct of our U.S. trade or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gross transportation income would be considered effectively connected with the conduct of a U.S. trade or business only if:</w:t>
      </w:r>
    </w:p>
    <w:p>
      <w:pPr>
        <w:spacing w:after="0" w:line="262" w:lineRule="exact"/>
        <w:rPr>
          <w:sz w:val="20"/>
          <w:szCs w:val="20"/>
          <w:color w:val="auto"/>
        </w:rPr>
      </w:pPr>
    </w:p>
    <w:p>
      <w:pPr>
        <w:ind w:left="1080" w:right="2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jc w:val="both"/>
        <w:ind w:right="40" w:firstLine="344"/>
        <w:spacing w:after="0" w:line="254" w:lineRule="auto"/>
        <w:rPr>
          <w:sz w:val="20"/>
          <w:szCs w:val="20"/>
          <w:color w:val="auto"/>
        </w:rPr>
      </w:pPr>
      <w:r>
        <w:rPr>
          <w:rFonts w:ascii="Arial" w:cs="Arial" w:eastAsia="Arial" w:hAnsi="Arial"/>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20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first as a nontaxable return of capital to the extent of your tax basis in our common shares or Preference Shares (on a dollar-for-dollar basis) and thereafter as capital gain.</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99" w:lineRule="exact"/>
        <w:rPr>
          <w:sz w:val="20"/>
          <w:szCs w:val="20"/>
          <w:color w:val="auto"/>
        </w:rPr>
      </w:pPr>
    </w:p>
    <w:p>
      <w:pPr>
        <w:ind w:left="1080" w:right="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common shares or Preference Shares, as the case may be, are readily tradable on an established securities market in the United States (such as the NYSE);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are not a PFIC for the tax year during which the dividend is paid or the immediately preceding tax year (see the discussion below under "— PFIC Status and Significant Tax Consequences");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own our common shares or Preference Shares for more than 60 days in the 121-day period beginning 60 days before the date on which the common shares or Preference Shares become ex-dividend;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you are not under an obligation to make related payments with respect to positions in substantially similar or related property;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Special rules may apply to any "extraordinary dividend". Generally, an extraordinary dividend is a dividend in an amount that is equal to (or in excess of)</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Shares and Preference Shares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 year, and (ii)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180" w:firstLine="351"/>
        <w:spacing w:after="0" w:line="369" w:lineRule="auto"/>
        <w:rPr>
          <w:sz w:val="20"/>
          <w:szCs w:val="20"/>
          <w:color w:val="auto"/>
        </w:rPr>
      </w:pPr>
      <w:r>
        <w:rPr>
          <w:rFonts w:ascii="Arial" w:cs="Arial" w:eastAsia="Arial" w:hAnsi="Arial"/>
          <w:sz w:val="15"/>
          <w:szCs w:val="15"/>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31" w:lineRule="exact"/>
        <w:rPr>
          <w:sz w:val="20"/>
          <w:szCs w:val="20"/>
          <w:color w:val="auto"/>
        </w:rPr>
      </w:pPr>
    </w:p>
    <w:p>
      <w:pPr>
        <w:jc w:val="both"/>
        <w:ind w:left="1080" w:right="340" w:hanging="532"/>
        <w:spacing w:after="0" w:line="369"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44"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86" w:lineRule="exact"/>
        <w:rPr>
          <w:sz w:val="20"/>
          <w:szCs w:val="20"/>
          <w:color w:val="auto"/>
        </w:rPr>
      </w:pPr>
    </w:p>
    <w:p>
      <w:pPr>
        <w:jc w:val="both"/>
        <w:ind w:firstLine="351"/>
        <w:spacing w:after="0" w:line="369" w:lineRule="auto"/>
        <w:rPr>
          <w:sz w:val="20"/>
          <w:szCs w:val="20"/>
          <w:color w:val="auto"/>
        </w:rPr>
      </w:pPr>
      <w:r>
        <w:rPr>
          <w:rFonts w:ascii="Arial" w:cs="Arial" w:eastAsia="Arial" w:hAnsi="Arial"/>
          <w:sz w:val="15"/>
          <w:szCs w:val="15"/>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18"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charters and the assets engaged in generating such income should not be treated as passive income or assets which produce (or are held for the production of) passive income, respectively, and (ii) we should currently not be a PFIC and in the future, assuming no material change in the nature of our activities and assets.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6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"U.S. Federal Income Taxation of U.S.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 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176" w:lineRule="exact"/>
        <w:rPr>
          <w:sz w:val="20"/>
          <w:szCs w:val="20"/>
          <w:color w:val="auto"/>
        </w:rPr>
      </w:pPr>
    </w:p>
    <w:p>
      <w:pPr>
        <w:ind w:right="80" w:firstLine="344"/>
        <w:spacing w:after="0" w:line="256" w:lineRule="auto"/>
        <w:rPr>
          <w:sz w:val="20"/>
          <w:szCs w:val="20"/>
          <w:color w:val="auto"/>
        </w:rPr>
      </w:pPr>
      <w:r>
        <w:rPr>
          <w:rFonts w:ascii="Arial" w:cs="Arial" w:eastAsia="Arial" w:hAnsi="Arial"/>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"Mark-to-Market" Election</w:t>
      </w:r>
    </w:p>
    <w:p>
      <w:pPr>
        <w:spacing w:after="0" w:line="225" w:lineRule="exact"/>
        <w:rPr>
          <w:sz w:val="20"/>
          <w:szCs w:val="20"/>
          <w:color w:val="auto"/>
        </w:rPr>
      </w:pPr>
    </w:p>
    <w:p>
      <w:pPr>
        <w:ind w:right="20" w:firstLine="341"/>
        <w:spacing w:after="0" w:line="308" w:lineRule="auto"/>
        <w:rPr>
          <w:sz w:val="20"/>
          <w:szCs w:val="20"/>
          <w:color w:val="auto"/>
        </w:rPr>
      </w:pPr>
      <w:r>
        <w:rPr>
          <w:rFonts w:ascii="Arial" w:cs="Arial" w:eastAsia="Arial" w:hAnsi="Arial"/>
          <w:sz w:val="15"/>
          <w:szCs w:val="15"/>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That Make No Election</w:t>
      </w:r>
    </w:p>
    <w:p>
      <w:pPr>
        <w:spacing w:after="0" w:line="225"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 common shares or Preference Shares) and (ii) any gain realized on the sale, exchange or other disposition of our common shares or Preference Shares. Under these special rules:</w:t>
      </w:r>
    </w:p>
    <w:p>
      <w:pPr>
        <w:spacing w:after="0" w:line="214"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your aggregate holding period for our common shares or Preference Shares;</w:t>
      </w:r>
    </w:p>
    <w:p>
      <w:pPr>
        <w:spacing w:after="0" w:line="275" w:lineRule="exact"/>
        <w:rPr>
          <w:rFonts w:ascii="Arial" w:cs="Arial" w:eastAsia="Arial" w:hAnsi="Arial"/>
          <w:sz w:val="16"/>
          <w:szCs w:val="16"/>
          <w:color w:val="auto"/>
        </w:rPr>
      </w:pPr>
    </w:p>
    <w:p>
      <w:pPr>
        <w:ind w:left="1080" w:right="480" w:hanging="532"/>
        <w:spacing w:after="0" w:line="33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54" w:lineRule="exact"/>
        <w:rPr>
          <w:rFonts w:ascii="Arial" w:cs="Arial" w:eastAsia="Arial" w:hAnsi="Arial"/>
          <w:sz w:val="16"/>
          <w:szCs w:val="16"/>
          <w:color w:val="auto"/>
        </w:rPr>
      </w:pPr>
    </w:p>
    <w:p>
      <w:pPr>
        <w:jc w:val="both"/>
        <w:ind w:left="1080" w:right="10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100" w:firstLine="344"/>
        <w:spacing w:after="0" w:line="268" w:lineRule="auto"/>
        <w:rPr>
          <w:sz w:val="20"/>
          <w:szCs w:val="20"/>
          <w:color w:val="auto"/>
        </w:rPr>
      </w:pPr>
      <w:r>
        <w:rPr>
          <w:rFonts w:ascii="Arial" w:cs="Arial" w:eastAsia="Arial" w:hAnsi="Arial"/>
          <w:sz w:val="18"/>
          <w:szCs w:val="18"/>
          <w:color w:val="auto"/>
        </w:rPr>
        <w:t>You are a "non-U.S. holder" if you are a beneficial owner of our common shares or Preference Shares (other than a partnership for U.S. tax purposes) and you are not a U.S. 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firstLine="344"/>
        <w:spacing w:after="0" w:line="256" w:lineRule="auto"/>
        <w:rPr>
          <w:sz w:val="20"/>
          <w:szCs w:val="20"/>
          <w:color w:val="auto"/>
        </w:rPr>
      </w:pPr>
      <w:r>
        <w:rPr>
          <w:rFonts w:ascii="Arial" w:cs="Arial" w:eastAsia="Arial" w:hAnsi="Arial"/>
          <w:sz w:val="18"/>
          <w:szCs w:val="18"/>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Our Common Shares and Preference Shares</w:t>
      </w:r>
    </w:p>
    <w:p>
      <w:pPr>
        <w:spacing w:after="0" w:line="225" w:lineRule="exact"/>
        <w:rPr>
          <w:sz w:val="20"/>
          <w:szCs w:val="20"/>
          <w:color w:val="auto"/>
        </w:rPr>
      </w:pPr>
    </w:p>
    <w:p>
      <w:pPr>
        <w:ind w:right="240" w:firstLine="344"/>
        <w:spacing w:after="0" w:line="268" w:lineRule="auto"/>
        <w:rPr>
          <w:sz w:val="20"/>
          <w:szCs w:val="20"/>
          <w:color w:val="auto"/>
        </w:rPr>
      </w:pPr>
      <w:r>
        <w:rPr>
          <w:rFonts w:ascii="Arial" w:cs="Arial" w:eastAsia="Arial" w:hAnsi="Arial"/>
          <w:sz w:val="18"/>
          <w:szCs w:val="18"/>
          <w:color w:val="auto"/>
        </w:rPr>
        <w:t>You generally will not be subject to U.S. Federal income tax or withholding tax on any gain realized upon the sale, exchange or other disposition of our common shares or Preference Shares, unless:</w:t>
      </w:r>
    </w:p>
    <w:p>
      <w:pPr>
        <w:spacing w:after="0" w:line="199" w:lineRule="exact"/>
        <w:rPr>
          <w:sz w:val="20"/>
          <w:szCs w:val="20"/>
          <w:color w:val="auto"/>
        </w:rPr>
      </w:pPr>
    </w:p>
    <w:p>
      <w:pPr>
        <w:ind w:left="1080" w:right="6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general, if you are a non-corporate U.S. holder, dividend payments (or other taxable distributions) made within the United States will be subject to information reporting requirements. Backup withholding may apply to such payments if you:</w:t>
      </w:r>
    </w:p>
    <w:p>
      <w:pPr>
        <w:spacing w:after="0" w:line="19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1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Backup withholding tax is not an additional tax. Rather, you generally may obtain a credit for any amount withheld against its liability for U.S. federal income tax (and obtain a refund of any amounts withheld in excess of such liability) by accurately completing and timely filing certain required information with the IRS.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 Such U.S. individuals are required to file IRS</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Form 8938 with their U.S. Federal income tax returns. Regulations extend this reporting requirement to certain entities that are treated as formed or availed of to hold direct or indirect interests in specified foreign financial assets based on certain objective criteria. You are encouraged to consult your own tax advisors concerning the filing of IRS Form 8938.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24 to our audited consolidated financial statements included elsewhere in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120" w:firstLine="348"/>
        <w:spacing w:after="0" w:line="369" w:lineRule="auto"/>
        <w:rPr>
          <w:sz w:val="20"/>
          <w:szCs w:val="20"/>
          <w:color w:val="auto"/>
        </w:rPr>
      </w:pPr>
      <w:r>
        <w:rPr>
          <w:rFonts w:ascii="Arial" w:cs="Arial" w:eastAsia="Arial" w:hAnsi="Arial"/>
          <w:sz w:val="15"/>
          <w:szCs w:val="15"/>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December 31, 2020. Based on our evaluation, the Chief Executive Officer and the Chief Financial Officer have concluded that our disclosure controls and procedures were effective as of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Chief Executive Officer and Chief Financial Officer to provide reasonable assurance regarding the reliability of financial reporting and the preparation of financial statements for external purposes in accordance with International Financial Reporting Standards.</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9"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2020.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independent registered public accounting firm has issued an attestation report on the Company's internal control over financial reporting.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Deloitte LLP, an independent registered public accounting firm, as stated in their report which appears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 xml:space="preserve">We have audited the internal control over financial reporting of GasLog Ltd and subsidiaries (the "Company")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5, 2021,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Donald J. Kintzer, whose biographical details are included in "Item 6. Directors, Senior Management and Employees—A. Directors and Senior Management", qualifies as an "audit committee financial expert". Our board of directors has affirmatively determined that Mr. Kintzer meets the definition of "independent director" for purposes of serving on an audit committee under applicable SEC and NYSE rules.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jc w:val="both"/>
        <w:ind w:right="180" w:firstLine="348"/>
        <w:spacing w:after="0" w:line="294"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6"/>
          <w:szCs w:val="16"/>
          <w:i w:val="1"/>
          <w:iCs w:val="1"/>
          <w:color w:val="auto"/>
        </w:rPr>
        <w:t>http://www.gaslogltd.com.</w:t>
      </w:r>
      <w:r>
        <w:rPr>
          <w:rFonts w:ascii="Arial" w:cs="Arial" w:eastAsia="Arial" w:hAnsi="Arial"/>
          <w:sz w:val="16"/>
          <w:szCs w:val="16"/>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LNG Services Ltd., 69 Akti Miaouli, 18537 Piraeus, Greece. No waivers of the Code of Business Conduct and Ethics have been granted to any person during the fiscal year ended December 31, 2020.</w:t>
      </w:r>
    </w:p>
    <w:p>
      <w:pPr>
        <w:spacing w:after="0" w:line="169"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than 12 months, (y) with respect to the number of Company securities less than or equal to the amount such Covered Person could sell at such time in compliance with Rule 144 under the Securities Act of 1933, as amended, and (z) 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2019 and December 31, 2020.</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chart below sets forth the total amount billed and accrued for Deloitte LLP for services performed in 2019 and 2020, respectively, and breaks down these amounts by the category of service. The fees paid to our principal accountant were approved in accordance with the pre-approval policies and procedures described below.</w:t>
      </w:r>
    </w:p>
    <w:p>
      <w:pPr>
        <w:spacing w:after="0" w:line="243" w:lineRule="exact"/>
        <w:rPr>
          <w:sz w:val="20"/>
          <w:szCs w:val="20"/>
          <w:color w:val="auto"/>
        </w:rPr>
      </w:pPr>
    </w:p>
    <w:p>
      <w:pPr>
        <w:ind w:left="8400"/>
        <w:spacing w:after="0"/>
        <w:tabs>
          <w:tab w:leader="none" w:pos="902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5" w:lineRule="exact"/>
        <w:rPr>
          <w:sz w:val="20"/>
          <w:szCs w:val="20"/>
          <w:color w:val="auto"/>
        </w:rPr>
      </w:pPr>
    </w:p>
    <w:p>
      <w:pPr>
        <w:jc w:val="center"/>
        <w:ind w:left="6440"/>
        <w:spacing w:after="0"/>
        <w:rPr>
          <w:sz w:val="20"/>
          <w:szCs w:val="20"/>
          <w:color w:val="auto"/>
        </w:rPr>
      </w:pPr>
      <w:r>
        <w:rPr>
          <w:rFonts w:ascii="Arial" w:cs="Arial" w:eastAsia="Arial" w:hAnsi="Arial"/>
          <w:sz w:val="13"/>
          <w:szCs w:val="13"/>
          <w:b w:val="1"/>
          <w:bCs w:val="1"/>
          <w:color w:val="auto"/>
        </w:rPr>
        <w:t>(Expressed in</w:t>
      </w:r>
    </w:p>
    <w:p>
      <w:pPr>
        <w:jc w:val="center"/>
        <w:ind w:left="6440"/>
        <w:spacing w:after="0"/>
        <w:rPr>
          <w:sz w:val="20"/>
          <w:szCs w:val="20"/>
          <w:color w:val="auto"/>
        </w:rPr>
      </w:pPr>
      <w:r>
        <w:rPr>
          <w:rFonts w:ascii="Arial" w:cs="Arial" w:eastAsia="Arial" w:hAnsi="Arial"/>
          <w:sz w:val="13"/>
          <w:szCs w:val="13"/>
          <w:b w:val="1"/>
          <w:bCs w:val="1"/>
          <w:color w:val="auto"/>
        </w:rPr>
        <w:t>millions of</w:t>
      </w:r>
    </w:p>
    <w:p>
      <w:pPr>
        <w:jc w:val="center"/>
        <w:ind w:left="6440"/>
        <w:spacing w:after="0" w:line="236" w:lineRule="auto"/>
        <w:rPr>
          <w:sz w:val="20"/>
          <w:szCs w:val="20"/>
          <w:color w:val="auto"/>
        </w:rPr>
      </w:pPr>
      <w:r>
        <w:rPr>
          <w:rFonts w:ascii="Arial" w:cs="Arial" w:eastAsia="Arial" w:hAnsi="Arial"/>
          <w:sz w:val="13"/>
          <w:szCs w:val="13"/>
          <w:b w:val="1"/>
          <w:bCs w:val="1"/>
          <w:color w:val="auto"/>
        </w:rPr>
        <w:t>U.S. Dollars)</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16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Included in the audit fees for 2019 are fees of $0.2 million related to equity and bond related transactions in 2019. Included in the audit fees for 2020 are fees of $0.2 million related to equity and bond related transactions in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advance the retention of the independent auditors for the performance of all audit and lawfully permitted non-audit services.</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536,030 common shares had been repurchased by the Company between January 1, 2019 and December 31, 2020.</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all purchases of our common shares by us and our affiliated purchasers for the period ended December 31, 2020.</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Shares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as Part of</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Publicly</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Announced</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5"/>
              </w:rPr>
              <w:t>Price Paid</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Plans or</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Plans or</w:t>
            </w:r>
          </w:p>
        </w:tc>
        <w:tc>
          <w:tcPr>
            <w:tcW w:w="0" w:type="dxa"/>
            <w:vAlign w:val="bottom"/>
          </w:tcPr>
          <w:p>
            <w:pPr>
              <w:spacing w:after="0"/>
              <w:rPr>
                <w:sz w:val="1"/>
                <w:szCs w:val="1"/>
                <w:color w:val="auto"/>
              </w:rPr>
            </w:pPr>
          </w:p>
        </w:tc>
      </w:tr>
      <w:tr>
        <w:trPr>
          <w:trHeight w:val="161"/>
        </w:trPr>
        <w:tc>
          <w:tcPr>
            <w:tcW w:w="312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5"/>
              </w:rPr>
              <w:t>per Share ($)</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Programs</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1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February 2020</w:t>
            </w:r>
            <w:r>
              <w:rPr>
                <w:rFonts w:ascii="Arial" w:cs="Arial" w:eastAsia="Arial" w:hAnsi="Arial"/>
                <w:sz w:val="28"/>
                <w:szCs w:val="28"/>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3"/>
          </w:tcPr>
          <w:p>
            <w:pPr>
              <w:spacing w:after="0" w:line="256" w:lineRule="exact"/>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323,919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3"/>
          </w:tcPr>
          <w:p>
            <w:pPr>
              <w:spacing w:after="0" w:line="256" w:lineRule="exact"/>
              <w:rPr>
                <w:sz w:val="20"/>
                <w:szCs w:val="20"/>
                <w:color w:val="auto"/>
              </w:rPr>
            </w:pPr>
            <w:r>
              <w:rPr>
                <w:rFonts w:ascii="Arial" w:cs="Arial" w:eastAsia="Arial" w:hAnsi="Arial"/>
                <w:sz w:val="18"/>
                <w:szCs w:val="18"/>
                <w:color w:val="auto"/>
              </w:rPr>
              <w:t>September 2020</w:t>
            </w:r>
            <w:r>
              <w:rPr>
                <w:rFonts w:ascii="Arial" w:cs="Arial" w:eastAsia="Arial" w:hAnsi="Arial"/>
                <w:sz w:val="29"/>
                <w:szCs w:val="29"/>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11,196,919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60" w:right="20" w:hanging="543"/>
        <w:spacing w:after="0" w:line="256" w:lineRule="auto"/>
        <w:tabs>
          <w:tab w:leader="none" w:pos="246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and other directors and officers of GasLog, acquired these shares in open-market transactions. These shares are reflected in share ownership included in "Item 7. Major Shareholders and Related Party Transactions— Major Shareholders."</w:t>
      </w:r>
    </w:p>
    <w:p>
      <w:pPr>
        <w:spacing w:after="0" w:line="102" w:lineRule="exact"/>
        <w:rPr>
          <w:rFonts w:ascii="Arial" w:cs="Arial" w:eastAsia="Arial" w:hAnsi="Arial"/>
          <w:sz w:val="11"/>
          <w:szCs w:val="11"/>
          <w:color w:val="auto"/>
        </w:rPr>
      </w:pPr>
    </w:p>
    <w:p>
      <w:pPr>
        <w:ind w:left="2460" w:right="60" w:hanging="543"/>
        <w:spacing w:after="0" w:line="274" w:lineRule="auto"/>
        <w:tabs>
          <w:tab w:leader="none" w:pos="246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Common shares repurchased under the authorized share repurchase programme of up to $50.0 million covering the period from January 1, 2019 to December 31, 2021.</w:t>
      </w:r>
    </w:p>
    <w:p>
      <w:pPr>
        <w:spacing w:after="0" w:line="90" w:lineRule="exact"/>
        <w:rPr>
          <w:rFonts w:ascii="Arial" w:cs="Arial" w:eastAsia="Arial" w:hAnsi="Arial"/>
          <w:sz w:val="11"/>
          <w:szCs w:val="11"/>
          <w:color w:val="auto"/>
        </w:rPr>
      </w:pPr>
    </w:p>
    <w:p>
      <w:pPr>
        <w:ind w:left="2460" w:right="140" w:hanging="543"/>
        <w:spacing w:after="0" w:line="256" w:lineRule="auto"/>
        <w:tabs>
          <w:tab w:leader="none" w:pos="246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Olympic LNG Investments Ltd. and other directors and officers of GasLog, acquired these shares in a private placement. These shares are reflected in share ownership included in "Item 7. Major Shareholders and Related Party Transactions—Major Shareholders."</w:t>
      </w:r>
    </w:p>
    <w:p>
      <w:pPr>
        <w:spacing w:after="0" w:line="102" w:lineRule="exact"/>
        <w:rPr>
          <w:rFonts w:ascii="Arial" w:cs="Arial" w:eastAsia="Arial" w:hAnsi="Arial"/>
          <w:sz w:val="11"/>
          <w:szCs w:val="11"/>
          <w:color w:val="auto"/>
        </w:rPr>
      </w:pPr>
    </w:p>
    <w:p>
      <w:pPr>
        <w:ind w:left="2460" w:right="20" w:hanging="543"/>
        <w:spacing w:after="0" w:line="256" w:lineRule="auto"/>
        <w:tabs>
          <w:tab w:leader="none" w:pos="246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and other directors and officers of GasLog, acquired these shares in open-market transactions. These shares are reflected in share ownership included in "Item 7. Major Shareholders and Related Party Transactions— Major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COMPANY'S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NYSE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Committee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6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F-83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679"/>
        <w:spacing w:after="0"/>
        <w:tabs>
          <w:tab w:leader="none" w:pos="6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1.1</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1.2</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1.3</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2.1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2.2</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3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4.4</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4.5</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4.6</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Amended Memorandum of Association of GasLog Ltd.</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Bye-laws of GasLog Ltd.</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08">
        <w:r>
          <w:rPr>
            <w:rFonts w:ascii="Arial" w:cs="Arial" w:eastAsia="Arial" w:hAnsi="Arial"/>
            <w:sz w:val="18"/>
            <w:szCs w:val="18"/>
            <w:u w:val="single" w:color="auto"/>
            <w:color w:val="0000EE"/>
          </w:rPr>
          <w:t>Amendment to the Bye-laws of GasLog Ltd.</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09">
        <w:r>
          <w:rPr>
            <w:rFonts w:ascii="Arial" w:cs="Arial" w:eastAsia="Arial" w:hAnsi="Arial"/>
            <w:sz w:val="18"/>
            <w:szCs w:val="18"/>
            <w:u w:val="single" w:color="auto"/>
            <w:color w:val="0000EE"/>
          </w:rPr>
          <w:t>Specimen Share Certificate</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10">
        <w:r>
          <w:rPr>
            <w:rFonts w:ascii="Arial" w:cs="Arial" w:eastAsia="Arial" w:hAnsi="Arial"/>
            <w:sz w:val="18"/>
            <w:szCs w:val="18"/>
            <w:u w:val="single" w:color="auto"/>
            <w:color w:val="0000EE"/>
          </w:rPr>
          <w:t>Description of Registered Securities</w:t>
        </w:r>
      </w:hyperlink>
      <w:r>
        <w:rPr>
          <w:rFonts w:ascii="Arial" w:cs="Arial" w:eastAsia="Arial" w:hAnsi="Arial"/>
          <w:sz w:val="29"/>
          <w:szCs w:val="29"/>
          <w:u w:val="single" w:color="auto"/>
          <w:color w:val="0000EE"/>
          <w:vertAlign w:val="superscript"/>
        </w:rPr>
        <w:t>(8)</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Form of Registration Rights Agreement</w:t>
        </w:r>
      </w:hyperlink>
      <w:r>
        <w:rPr>
          <w:rFonts w:ascii="Arial" w:cs="Arial" w:eastAsia="Arial" w:hAnsi="Arial"/>
          <w:sz w:val="29"/>
          <w:szCs w:val="29"/>
          <w:u w:val="single" w:color="auto"/>
          <w:color w:val="0000EE"/>
          <w:vertAlign w:val="superscript"/>
        </w:rPr>
        <w:t>(1)</w:t>
      </w:r>
    </w:p>
    <w:p>
      <w:pPr>
        <w:spacing w:after="0" w:line="165" w:lineRule="exact"/>
        <w:rPr>
          <w:sz w:val="20"/>
          <w:szCs w:val="20"/>
          <w:color w:val="auto"/>
        </w:rPr>
      </w:pPr>
    </w:p>
    <w:p>
      <w:pPr>
        <w:ind w:right="319"/>
        <w:spacing w:after="0" w:line="332" w:lineRule="auto"/>
        <w:rPr>
          <w:rFonts w:ascii="Arial" w:cs="Arial" w:eastAsia="Arial" w:hAnsi="Arial"/>
          <w:sz w:val="16"/>
          <w:szCs w:val="16"/>
          <w:u w:val="single" w:color="auto"/>
          <w:color w:val="0000EE"/>
        </w:rPr>
      </w:pPr>
      <w:hyperlink r:id="rId212">
        <w:r>
          <w:rPr>
            <w:rFonts w:ascii="Arial" w:cs="Arial" w:eastAsia="Arial" w:hAnsi="Arial"/>
            <w:sz w:val="16"/>
            <w:szCs w:val="16"/>
            <w:u w:val="single" w:color="auto"/>
            <w:color w:val="0000EE"/>
          </w:rPr>
          <w:t>Appendix to the Private Agreement of Professional Hiring (English translation), dated December 1, 2010 and</w:t>
        </w:r>
      </w:hyperlink>
      <w:r>
        <w:rPr>
          <w:rFonts w:ascii="Arial" w:cs="Arial" w:eastAsia="Arial" w:hAnsi="Arial"/>
          <w:sz w:val="16"/>
          <w:szCs w:val="16"/>
          <w:u w:val="single" w:color="auto"/>
          <w:color w:val="0000EE"/>
        </w:rPr>
        <w:t xml:space="preserve"> </w:t>
      </w:r>
      <w:hyperlink r:id="rId212">
        <w:r>
          <w:rPr>
            <w:rFonts w:ascii="Arial" w:cs="Arial" w:eastAsia="Arial" w:hAnsi="Arial"/>
            <w:sz w:val="16"/>
            <w:szCs w:val="16"/>
            <w:u w:val="single" w:color="auto"/>
            <w:color w:val="0000EE"/>
          </w:rPr>
          <w:t>October 1, 2011, between Nea Dimitra Ktimatikh Kai Emporikh S.A. and GasLog LNG Services Ltd.</w:t>
        </w:r>
        <w:r>
          <w:rPr>
            <w:rFonts w:ascii="Arial" w:cs="Arial" w:eastAsia="Arial" w:hAnsi="Arial"/>
            <w:sz w:val="26"/>
            <w:szCs w:val="26"/>
            <w:u w:val="single" w:color="auto"/>
            <w:color w:val="0000EE"/>
            <w:vertAlign w:val="superscript"/>
          </w:rPr>
          <w:t>(1)</w:t>
        </w:r>
      </w:hyperlink>
    </w:p>
    <w:p>
      <w:pPr>
        <w:spacing w:after="0" w:line="48" w:lineRule="exact"/>
        <w:rPr>
          <w:sz w:val="20"/>
          <w:szCs w:val="20"/>
          <w:color w:val="auto"/>
        </w:rPr>
      </w:pPr>
    </w:p>
    <w:p>
      <w:pPr>
        <w:spacing w:after="0"/>
        <w:rPr>
          <w:rFonts w:ascii="Arial" w:cs="Arial" w:eastAsia="Arial" w:hAnsi="Arial"/>
          <w:sz w:val="18"/>
          <w:szCs w:val="18"/>
          <w:u w:val="single" w:color="auto"/>
          <w:color w:val="0000EE"/>
        </w:rPr>
      </w:pPr>
      <w:hyperlink r:id="rId213">
        <w:r>
          <w:rPr>
            <w:rFonts w:ascii="Arial" w:cs="Arial" w:eastAsia="Arial" w:hAnsi="Arial"/>
            <w:sz w:val="18"/>
            <w:szCs w:val="18"/>
            <w:u w:val="single" w:color="auto"/>
            <w:color w:val="0000EE"/>
          </w:rPr>
          <w:t>Form of Indemnification Agreement for the Company's directors and certain officers</w:t>
        </w:r>
      </w:hyperlink>
      <w:r>
        <w:rPr>
          <w:rFonts w:ascii="Arial" w:cs="Arial" w:eastAsia="Arial" w:hAnsi="Arial"/>
          <w:sz w:val="29"/>
          <w:szCs w:val="29"/>
          <w:u w:val="single" w:color="auto"/>
          <w:color w:val="0000EE"/>
          <w:vertAlign w:val="superscript"/>
        </w:rPr>
        <w:t>(4)</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Form of Restrictive Covenant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215">
        <w:r>
          <w:rPr>
            <w:rFonts w:ascii="Arial" w:cs="Arial" w:eastAsia="Arial" w:hAnsi="Arial"/>
            <w:sz w:val="18"/>
            <w:szCs w:val="18"/>
            <w:u w:val="single" w:color="auto"/>
            <w:color w:val="0000EE"/>
          </w:rPr>
          <w:t>GasLog Ltd. 2013 Omnibus Incentive Compensation Plan</w:t>
        </w:r>
      </w:hyperlink>
      <w:r>
        <w:rPr>
          <w:rFonts w:ascii="Arial" w:cs="Arial" w:eastAsia="Arial" w:hAnsi="Arial"/>
          <w:sz w:val="29"/>
          <w:szCs w:val="29"/>
          <w:u w:val="single" w:color="auto"/>
          <w:color w:val="0000EE"/>
          <w:vertAlign w:val="superscript"/>
        </w:rPr>
        <w:t>(3)</w:t>
      </w:r>
    </w:p>
    <w:p>
      <w:pPr>
        <w:spacing w:after="0" w:line="165" w:lineRule="exact"/>
        <w:rPr>
          <w:sz w:val="20"/>
          <w:szCs w:val="20"/>
          <w:color w:val="auto"/>
        </w:rPr>
      </w:pPr>
    </w:p>
    <w:p>
      <w:pPr>
        <w:ind w:right="39"/>
        <w:spacing w:after="0" w:line="290" w:lineRule="auto"/>
        <w:rPr>
          <w:rFonts w:ascii="Arial" w:cs="Arial" w:eastAsia="Arial" w:hAnsi="Arial"/>
          <w:sz w:val="16"/>
          <w:szCs w:val="16"/>
          <w:u w:val="single" w:color="auto"/>
          <w:color w:val="0000EE"/>
        </w:rPr>
      </w:pPr>
      <w:hyperlink r:id="rId216">
        <w:r>
          <w:rPr>
            <w:rFonts w:ascii="Arial" w:cs="Arial" w:eastAsia="Arial" w:hAnsi="Arial"/>
            <w:sz w:val="16"/>
            <w:szCs w:val="16"/>
            <w:u w:val="single" w:color="auto"/>
            <w:color w:val="0000EE"/>
          </w:rPr>
          <w:t>Facilities Agreement for $1,311,356,340 Loan Facilities dated October 16, 2015 between GAS-eleven Ltd.,</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GAS-twelve Ltd., GAS-thirteen Ltd., GAS-fourteen Ltd., GAS-twenty two Ltd., GAS-twenty three Ltd., GAS-</w:t>
        </w:r>
      </w:hyperlink>
      <w:hyperlink r:id="rId216">
        <w:r>
          <w:rPr>
            <w:rFonts w:ascii="Arial" w:cs="Arial" w:eastAsia="Arial" w:hAnsi="Arial"/>
            <w:sz w:val="16"/>
            <w:szCs w:val="16"/>
            <w:u w:val="single" w:color="auto"/>
            <w:color w:val="0000EE"/>
          </w:rPr>
          <w:t>twenty four Ltd., GAS-twenty five Ltd., as borrowers, Citibank, N.A., London Branch, Nordea Bank AB,</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London Branch, The Export-Import Bank of Korea, Bank of America, National Association, BNP Paribas, Credit</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Agricole Corporate and Investment Bank, Credit Suisse AG, HSBC Bank plc, ING Bank N.V., London Branch,</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KEB Hana Bank, London Branch, KfW IPEX-Bank GmbH, National Australia Bank Limited, Oversea-Chinese</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Banking Corporation Limited, Societe Generale and The Korea Development Bank as mandated lead arrangers</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with Nordea Bank AB, London Branch as agent, security agent, global co-ordinator and bookrunner and Citibank</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N.A., London Branch as export credit agent, global co-ordinator, bookrunner and export credit agent co-</w:t>
        </w:r>
      </w:hyperlink>
      <w:hyperlink r:id="rId216">
        <w:r>
          <w:rPr>
            <w:rFonts w:ascii="Arial" w:cs="Arial" w:eastAsia="Arial" w:hAnsi="Arial"/>
            <w:sz w:val="16"/>
            <w:szCs w:val="16"/>
            <w:u w:val="single" w:color="auto"/>
            <w:color w:val="0000EE"/>
          </w:rPr>
          <w:t>ordinator, guaranteed by GasLog Ltd. and GasLog Carriers Ltd.</w:t>
        </w:r>
        <w:r>
          <w:rPr>
            <w:rFonts w:ascii="Arial" w:cs="Arial" w:eastAsia="Arial" w:hAnsi="Arial"/>
            <w:sz w:val="26"/>
            <w:szCs w:val="26"/>
            <w:u w:val="single" w:color="auto"/>
            <w:color w:val="0000EE"/>
            <w:vertAlign w:val="superscript"/>
          </w:rPr>
          <w:t>(4)</w:t>
        </w:r>
        <w:r>
          <w:rPr>
            <w:rFonts w:ascii="Arial" w:cs="Arial" w:eastAsia="Arial" w:hAnsi="Arial"/>
            <w:sz w:val="16"/>
            <w:szCs w:val="16"/>
            <w:u w:val="single" w:color="auto"/>
            <w:color w:val="0000EE"/>
          </w:rPr>
          <w:t>*</w:t>
        </w:r>
      </w:hyperlink>
    </w:p>
    <w:p>
      <w:pPr>
        <w:spacing w:after="0" w:line="81" w:lineRule="exact"/>
        <w:rPr>
          <w:rFonts w:ascii="Arial" w:cs="Arial" w:eastAsia="Arial" w:hAnsi="Arial"/>
          <w:sz w:val="16"/>
          <w:szCs w:val="16"/>
          <w:u w:val="single" w:color="auto"/>
          <w:color w:val="0000EE"/>
        </w:rPr>
      </w:pPr>
    </w:p>
    <w:p>
      <w:pPr>
        <w:sectPr>
          <w:pgSz w:w="11900" w:h="16838" w:orient="portrait"/>
          <w:cols w:equalWidth="0" w:num="2">
            <w:col w:w="1980" w:space="160"/>
            <w:col w:w="7999"/>
          </w:cols>
          <w:pgMar w:left="320" w:top="131" w:right="1440" w:bottom="1440" w:gutter="0" w:footer="0" w:header="0"/>
          <w:type w:val="continuous"/>
        </w:sectPr>
      </w:pPr>
    </w:p>
    <w:p>
      <w:pPr>
        <w:ind w:left="2140" w:right="159" w:hanging="380"/>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217">
        <w:r>
          <w:rPr>
            <w:rFonts w:ascii="Arial" w:cs="Arial" w:eastAsia="Arial" w:hAnsi="Arial"/>
            <w:sz w:val="16"/>
            <w:szCs w:val="16"/>
            <w:u w:val="single" w:color="auto"/>
            <w:color w:val="0000EE"/>
          </w:rPr>
          <w:t>Senior Facility Agreement dated February 18, 2016, relating to a $396,500,000 loan facility among GAS-</w:t>
        </w:r>
      </w:hyperlink>
      <w:hyperlink r:id="rId217">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Australia, ING Bank N.V., London Branch, Credit Agricole Corporate and Investment Bank, National Australia</w:t>
        </w:r>
      </w:hyperlink>
    </w:p>
    <w:p>
      <w:pPr>
        <w:spacing w:after="0" w:line="2" w:lineRule="exact"/>
        <w:rPr>
          <w:rFonts w:ascii="Arial" w:cs="Arial" w:eastAsia="Arial" w:hAnsi="Arial"/>
          <w:sz w:val="16"/>
          <w:szCs w:val="16"/>
          <w:u w:val="single" w:color="auto"/>
          <w:color w:val="0000EE"/>
        </w:rPr>
      </w:pPr>
    </w:p>
    <w:p>
      <w:pPr>
        <w:jc w:val="center"/>
        <w:ind w:right="-1380"/>
        <w:spacing w:after="0"/>
        <w:rPr>
          <w:rFonts w:ascii="Arial" w:cs="Arial" w:eastAsia="Arial" w:hAnsi="Arial"/>
          <w:sz w:val="17"/>
          <w:szCs w:val="17"/>
          <w:u w:val="single" w:color="auto"/>
          <w:color w:val="0000EE"/>
        </w:rPr>
      </w:pPr>
      <w:hyperlink r:id="rId217">
        <w:r>
          <w:rPr>
            <w:rFonts w:ascii="Arial" w:cs="Arial" w:eastAsia="Arial" w:hAnsi="Arial"/>
            <w:sz w:val="17"/>
            <w:szCs w:val="17"/>
            <w:u w:val="single" w:color="auto"/>
            <w:color w:val="0000EE"/>
          </w:rPr>
          <w:t>Bank Limited as original lenders and DNB Bank ASA, London Branch as agent and security agent.</w:t>
        </w:r>
        <w:r>
          <w:rPr>
            <w:rFonts w:ascii="Arial" w:cs="Arial" w:eastAsia="Arial" w:hAnsi="Arial"/>
            <w:sz w:val="28"/>
            <w:szCs w:val="28"/>
            <w:u w:val="single" w:color="auto"/>
            <w:color w:val="0000EE"/>
            <w:vertAlign w:val="superscript"/>
          </w:rPr>
          <w:t>(4)</w:t>
        </w:r>
        <w:r>
          <w:rPr>
            <w:rFonts w:ascii="Arial" w:cs="Arial" w:eastAsia="Arial" w:hAnsi="Arial"/>
            <w:sz w:val="17"/>
            <w:szCs w:val="17"/>
            <w:u w:val="single" w:color="auto"/>
            <w:color w:val="0000EE"/>
          </w:rPr>
          <w:t>*</w:t>
        </w:r>
      </w:hyperlink>
    </w:p>
    <w:p>
      <w:pPr>
        <w:spacing w:after="0" w:line="144" w:lineRule="exact"/>
        <w:rPr>
          <w:rFonts w:ascii="Arial" w:cs="Arial" w:eastAsia="Arial" w:hAnsi="Arial"/>
          <w:sz w:val="16"/>
          <w:szCs w:val="16"/>
          <w:u w:val="single" w:color="auto"/>
          <w:color w:val="0000EE"/>
        </w:rPr>
      </w:pPr>
    </w:p>
    <w:p>
      <w:pPr>
        <w:ind w:left="5500"/>
        <w:spacing w:after="0"/>
        <w:rPr>
          <w:sz w:val="20"/>
          <w:szCs w:val="20"/>
          <w:color w:val="auto"/>
        </w:rPr>
      </w:pPr>
      <w:r>
        <w:rPr>
          <w:rFonts w:ascii="Arial" w:cs="Arial" w:eastAsia="Arial" w:hAnsi="Arial"/>
          <w:sz w:val="18"/>
          <w:szCs w:val="18"/>
          <w:color w:val="auto"/>
        </w:rPr>
        <w:t>156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5" w:lineRule="exact"/>
        <w:rPr>
          <w:sz w:val="20"/>
          <w:szCs w:val="20"/>
          <w:color w:val="auto"/>
        </w:rPr>
      </w:pPr>
    </w:p>
    <w:p>
      <w:pPr>
        <w:ind w:left="2140" w:right="219" w:hanging="380"/>
        <w:spacing w:after="0" w:line="27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220">
        <w:r>
          <w:rPr>
            <w:rFonts w:ascii="Arial" w:cs="Arial" w:eastAsia="Arial" w:hAnsi="Arial"/>
            <w:sz w:val="18"/>
            <w:szCs w:val="18"/>
            <w:u w:val="single" w:color="auto"/>
            <w:color w:val="0000EE"/>
          </w:rPr>
          <w:t>Form of Corporate Guarantee between GasLog Ltd. and DNB Bank ASA, London Branch (provided in respect</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of the Senior Facility Agreement, dated February 18, 2016).</w:t>
        </w:r>
        <w:r>
          <w:rPr>
            <w:rFonts w:ascii="Arial" w:cs="Arial" w:eastAsia="Arial" w:hAnsi="Arial"/>
            <w:sz w:val="29"/>
            <w:szCs w:val="29"/>
            <w:u w:val="single" w:color="auto"/>
            <w:color w:val="0000EE"/>
            <w:vertAlign w:val="superscript"/>
          </w:rPr>
          <w:t>(4)</w:t>
        </w:r>
      </w:hyperlink>
    </w:p>
    <w:p>
      <w:pPr>
        <w:spacing w:after="0" w:line="86" w:lineRule="exact"/>
        <w:rPr>
          <w:sz w:val="20"/>
          <w:szCs w:val="20"/>
          <w:color w:val="auto"/>
        </w:rPr>
      </w:pPr>
    </w:p>
    <w:p>
      <w:pPr>
        <w:ind w:left="2140" w:right="219" w:hanging="468"/>
        <w:spacing w:after="0" w:line="281"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221">
        <w:r>
          <w:rPr>
            <w:rFonts w:ascii="Arial" w:cs="Arial" w:eastAsia="Arial" w:hAnsi="Arial"/>
            <w:sz w:val="18"/>
            <w:szCs w:val="18"/>
            <w:u w:val="single" w:color="auto"/>
            <w:color w:val="0000EE"/>
          </w:rPr>
          <w:t>Form of Corporate Guarantee between GasLog Partners LP and DNB Bank ASA, London Branch (provided in</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respect of the Senior Facility Agreement, dated February 18, 2016).</w:t>
        </w:r>
        <w:r>
          <w:rPr>
            <w:rFonts w:ascii="Arial" w:cs="Arial" w:eastAsia="Arial" w:hAnsi="Arial"/>
            <w:sz w:val="29"/>
            <w:szCs w:val="29"/>
            <w:u w:val="single" w:color="auto"/>
            <w:color w:val="0000EE"/>
            <w:vertAlign w:val="superscript"/>
          </w:rPr>
          <w:t>(4)</w:t>
        </w:r>
      </w:hyperlink>
    </w:p>
    <w:p>
      <w:pPr>
        <w:spacing w:after="0" w:line="83" w:lineRule="exact"/>
        <w:rPr>
          <w:sz w:val="20"/>
          <w:szCs w:val="20"/>
          <w:color w:val="auto"/>
        </w:rPr>
      </w:pPr>
    </w:p>
    <w:p>
      <w:pPr>
        <w:ind w:left="2140" w:right="119" w:hanging="462"/>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222">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among GAS-one Ltd., GAS-two Ltd., GAS-six Ltd., GAS-seven Ltd., GAS-eight Ltd., GAS-nine Ltd., GAS-</w:t>
        </w:r>
      </w:hyperlink>
      <w:hyperlink r:id="rId222">
        <w:r>
          <w:rPr>
            <w:rFonts w:ascii="Arial" w:cs="Arial" w:eastAsia="Arial" w:hAnsi="Arial"/>
            <w:sz w:val="16"/>
            <w:szCs w:val="16"/>
            <w:u w:val="single" w:color="auto"/>
            <w:color w:val="0000EE"/>
          </w:rPr>
          <w:t>ten Ltd. and GAS-fifteen Ltd. as borrowers, Citigroup Global Market Limited, Credit Suisse AG, Nordea Bank</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AB, London Branch, Skandinaviska Enskilda Banken AB (publ), HSBC Bank plc, ING Bank N.V., London</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Branch, Danmarks Skibskredit A/S and The Korea Development Bank as mandated lead arrangers and DVB</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7"/>
          <w:szCs w:val="17"/>
          <w:u w:val="single" w:color="auto"/>
          <w:color w:val="0000EE"/>
        </w:rPr>
      </w:pPr>
      <w:hyperlink r:id="rId222">
        <w:r>
          <w:rPr>
            <w:rFonts w:ascii="Arial" w:cs="Arial" w:eastAsia="Arial" w:hAnsi="Arial"/>
            <w:sz w:val="17"/>
            <w:szCs w:val="17"/>
            <w:u w:val="single" w:color="auto"/>
            <w:color w:val="0000EE"/>
          </w:rPr>
          <w:t>Bank America N.V. as arranger with Nordea Bank AB, London Branch as agent and security agent.</w:t>
        </w:r>
        <w:r>
          <w:rPr>
            <w:rFonts w:ascii="Arial" w:cs="Arial" w:eastAsia="Arial" w:hAnsi="Arial"/>
            <w:sz w:val="28"/>
            <w:szCs w:val="28"/>
            <w:u w:val="single" w:color="auto"/>
            <w:color w:val="0000EE"/>
            <w:vertAlign w:val="superscript"/>
          </w:rPr>
          <w:t>(5)</w:t>
        </w:r>
        <w:r>
          <w:rPr>
            <w:rFonts w:ascii="Arial" w:cs="Arial" w:eastAsia="Arial" w:hAnsi="Arial"/>
            <w:sz w:val="17"/>
            <w:szCs w:val="17"/>
            <w:u w:val="single" w:color="auto"/>
            <w:color w:val="0000EE"/>
          </w:rPr>
          <w:t>*</w:t>
        </w:r>
      </w:hyperlink>
    </w:p>
    <w:p>
      <w:pPr>
        <w:spacing w:after="0" w:line="171" w:lineRule="exact"/>
        <w:rPr>
          <w:rFonts w:ascii="Arial" w:cs="Arial" w:eastAsia="Arial" w:hAnsi="Arial"/>
          <w:sz w:val="16"/>
          <w:szCs w:val="16"/>
          <w:u w:val="single" w:color="auto"/>
          <w:color w:val="0000EE"/>
        </w:rPr>
      </w:pPr>
    </w:p>
    <w:p>
      <w:pPr>
        <w:ind w:left="2140" w:right="39"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223">
        <w:r>
          <w:rPr>
            <w:rFonts w:ascii="Arial" w:cs="Arial" w:eastAsia="Arial" w:hAnsi="Arial"/>
            <w:sz w:val="16"/>
            <w:szCs w:val="16"/>
            <w:u w:val="single" w:color="auto"/>
            <w:color w:val="0000EE"/>
          </w:rPr>
          <w:t>Facilities Agreement dated February 20, 2019, relating to $450,000,000 Revolving Credit Facility among GAS-</w:t>
        </w:r>
      </w:hyperlink>
      <w:hyperlink r:id="rId223">
        <w:r>
          <w:rPr>
            <w:rFonts w:ascii="Arial" w:cs="Arial" w:eastAsia="Arial" w:hAnsi="Arial"/>
            <w:sz w:val="16"/>
            <w:szCs w:val="16"/>
            <w:u w:val="single" w:color="auto"/>
            <w:color w:val="0000EE"/>
          </w:rPr>
          <w:t>three Ltd., GAS-four Ltd., GAS-five Ltd., Gas-sixteen Ltd., GAS-seventeen Ltd., as borrowers, Credit Suisse</w:t>
        </w:r>
      </w:hyperlink>
      <w:r>
        <w:rPr>
          <w:rFonts w:ascii="Arial" w:cs="Arial" w:eastAsia="Arial" w:hAnsi="Arial"/>
          <w:sz w:val="16"/>
          <w:szCs w:val="16"/>
          <w:u w:val="single" w:color="auto"/>
          <w:color w:val="0000EE"/>
        </w:rPr>
        <w:t xml:space="preserve"> </w:t>
      </w:r>
      <w:hyperlink r:id="rId223">
        <w:r>
          <w:rPr>
            <w:rFonts w:ascii="Arial" w:cs="Arial" w:eastAsia="Arial" w:hAnsi="Arial"/>
            <w:sz w:val="16"/>
            <w:szCs w:val="16"/>
            <w:u w:val="single" w:color="auto"/>
            <w:color w:val="0000EE"/>
          </w:rPr>
          <w:t>AG, Nordea Bank Abp, Filial I Norge, The IyoBank, Ltd. Singapore Branch as the Original Lenders with Nordea</w:t>
        </w:r>
      </w:hyperlink>
      <w:r>
        <w:rPr>
          <w:rFonts w:ascii="Arial" w:cs="Arial" w:eastAsia="Arial" w:hAnsi="Arial"/>
          <w:sz w:val="16"/>
          <w:szCs w:val="16"/>
          <w:u w:val="single" w:color="auto"/>
          <w:color w:val="0000EE"/>
        </w:rPr>
        <w:t xml:space="preserve"> </w:t>
      </w:r>
      <w:hyperlink r:id="rId223">
        <w:r>
          <w:rPr>
            <w:rFonts w:ascii="Arial" w:cs="Arial" w:eastAsia="Arial" w:hAnsi="Arial"/>
            <w:sz w:val="16"/>
            <w:szCs w:val="16"/>
            <w:u w:val="single" w:color="auto"/>
            <w:color w:val="0000EE"/>
          </w:rPr>
          <w:t>Bank Abp, Filial I Norge as agent and the security agent, and Credit Suisse AG as mandated lead arranger, global</w:t>
        </w:r>
      </w:hyperlink>
    </w:p>
    <w:p>
      <w:pPr>
        <w:spacing w:after="0" w:line="3" w:lineRule="exact"/>
        <w:rPr>
          <w:rFonts w:ascii="Arial" w:cs="Arial" w:eastAsia="Arial" w:hAnsi="Arial"/>
          <w:sz w:val="16"/>
          <w:szCs w:val="16"/>
          <w:u w:val="single" w:color="auto"/>
          <w:color w:val="0000EE"/>
        </w:rPr>
      </w:pPr>
    </w:p>
    <w:p>
      <w:pPr>
        <w:ind w:left="2140"/>
        <w:spacing w:after="0"/>
        <w:rPr>
          <w:rFonts w:ascii="Arial" w:cs="Arial" w:eastAsia="Arial" w:hAnsi="Arial"/>
          <w:sz w:val="16"/>
          <w:szCs w:val="16"/>
          <w:u w:val="single" w:color="auto"/>
          <w:color w:val="0000EE"/>
        </w:rPr>
      </w:pPr>
      <w:hyperlink r:id="rId223">
        <w:r>
          <w:rPr>
            <w:rFonts w:ascii="Arial" w:cs="Arial" w:eastAsia="Arial" w:hAnsi="Arial"/>
            <w:sz w:val="16"/>
            <w:szCs w:val="16"/>
            <w:u w:val="single" w:color="auto"/>
            <w:color w:val="0000EE"/>
          </w:rPr>
          <w:t xml:space="preserve">co-ordinator and bookrunner, guaranteed by GasLog Partners LP and GasLog Partners Holdings LLC. </w:t>
        </w:r>
        <w:r>
          <w:rPr>
            <w:rFonts w:ascii="Arial" w:cs="Arial" w:eastAsia="Arial" w:hAnsi="Arial"/>
            <w:sz w:val="26"/>
            <w:szCs w:val="26"/>
            <w:u w:val="single" w:color="auto"/>
            <w:color w:val="0000EE"/>
            <w:vertAlign w:val="superscript"/>
          </w:rPr>
          <w:t>(6)</w:t>
        </w:r>
        <w:r>
          <w:rPr>
            <w:rFonts w:ascii="Arial" w:cs="Arial" w:eastAsia="Arial" w:hAnsi="Arial"/>
            <w:sz w:val="16"/>
            <w:szCs w:val="16"/>
            <w:u w:val="single" w:color="auto"/>
            <w:color w:val="0000EE"/>
          </w:rPr>
          <w:t xml:space="preserve"> *</w:t>
        </w:r>
      </w:hyperlink>
    </w:p>
    <w:p>
      <w:pPr>
        <w:spacing w:after="0" w:line="194" w:lineRule="exact"/>
        <w:rPr>
          <w:rFonts w:ascii="Arial" w:cs="Arial" w:eastAsia="Arial" w:hAnsi="Arial"/>
          <w:sz w:val="16"/>
          <w:szCs w:val="16"/>
          <w:u w:val="single" w:color="auto"/>
          <w:color w:val="0000EE"/>
        </w:rPr>
      </w:pPr>
    </w:p>
    <w:p>
      <w:pPr>
        <w:ind w:left="2140" w:right="139" w:hanging="468"/>
        <w:spacing w:after="0" w:line="304" w:lineRule="auto"/>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4.13</w:t>
      </w:r>
      <w:r>
        <w:rPr>
          <w:sz w:val="20"/>
          <w:szCs w:val="20"/>
          <w:color w:val="auto"/>
        </w:rPr>
        <w:tab/>
      </w:r>
      <w:hyperlink r:id="rId224">
        <w:r>
          <w:rPr>
            <w:rFonts w:ascii="Arial" w:cs="Arial" w:eastAsia="Arial" w:hAnsi="Arial"/>
            <w:sz w:val="15"/>
            <w:szCs w:val="15"/>
            <w:u w:val="single" w:color="auto"/>
            <w:color w:val="0000EE"/>
          </w:rPr>
          <w:t>Exchange Agreement among GasLog Partners LP, GasLog Partners GP LLC and GasLog Ltd. dated June 24,</w:t>
        </w:r>
      </w:hyperlink>
      <w:r>
        <w:rPr>
          <w:rFonts w:ascii="Arial" w:cs="Arial" w:eastAsia="Arial" w:hAnsi="Arial"/>
          <w:sz w:val="15"/>
          <w:szCs w:val="15"/>
          <w:u w:val="single" w:color="auto"/>
          <w:color w:val="0000EE"/>
        </w:rPr>
        <w:t xml:space="preserve"> </w:t>
      </w:r>
      <w:hyperlink r:id="rId224">
        <w:r>
          <w:rPr>
            <w:rFonts w:ascii="Arial" w:cs="Arial" w:eastAsia="Arial" w:hAnsi="Arial"/>
            <w:sz w:val="15"/>
            <w:szCs w:val="15"/>
            <w:u w:val="single" w:color="auto"/>
            <w:color w:val="0000EE"/>
          </w:rPr>
          <w:t>2019; please see "Item 7. Major Shareholders and Related Party Transactions—B. Related Party Transactions—</w:t>
        </w:r>
      </w:hyperlink>
    </w:p>
    <w:p>
      <w:pPr>
        <w:spacing w:after="0" w:line="1" w:lineRule="exact"/>
        <w:rPr>
          <w:sz w:val="20"/>
          <w:szCs w:val="20"/>
          <w:color w:val="auto"/>
        </w:rPr>
      </w:pPr>
    </w:p>
    <w:p>
      <w:pPr>
        <w:ind w:left="2140"/>
        <w:spacing w:after="0"/>
        <w:rPr>
          <w:rFonts w:ascii="Arial" w:cs="Arial" w:eastAsia="Arial" w:hAnsi="Arial"/>
          <w:sz w:val="18"/>
          <w:szCs w:val="18"/>
          <w:u w:val="single" w:color="auto"/>
          <w:color w:val="0000EE"/>
        </w:rPr>
      </w:pPr>
      <w:hyperlink r:id="rId224">
        <w:r>
          <w:rPr>
            <w:rFonts w:ascii="Arial" w:cs="Arial" w:eastAsia="Arial" w:hAnsi="Arial"/>
            <w:sz w:val="18"/>
            <w:szCs w:val="18"/>
            <w:u w:val="single" w:color="auto"/>
            <w:color w:val="0000EE"/>
          </w:rPr>
          <w:t>Exchange Agreement"</w:t>
        </w:r>
        <w:r>
          <w:rPr>
            <w:rFonts w:ascii="Arial" w:cs="Arial" w:eastAsia="Arial" w:hAnsi="Arial"/>
            <w:sz w:val="29"/>
            <w:szCs w:val="29"/>
            <w:u w:val="single" w:color="auto"/>
            <w:color w:val="0000EE"/>
            <w:vertAlign w:val="superscript"/>
          </w:rPr>
          <w:t>(7)</w:t>
        </w:r>
      </w:hyperlink>
    </w:p>
    <w:p>
      <w:pPr>
        <w:spacing w:after="0" w:line="160" w:lineRule="exact"/>
        <w:rPr>
          <w:sz w:val="20"/>
          <w:szCs w:val="20"/>
          <w:color w:val="auto"/>
        </w:rPr>
      </w:pPr>
    </w:p>
    <w:p>
      <w:pPr>
        <w:ind w:left="2140" w:right="219" w:hanging="468"/>
        <w:spacing w:after="0" w:line="254"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225">
        <w:r>
          <w:rPr>
            <w:rFonts w:ascii="Arial" w:cs="Arial" w:eastAsia="Arial" w:hAnsi="Arial"/>
            <w:sz w:val="18"/>
            <w:szCs w:val="18"/>
            <w:u w:val="single" w:color="auto"/>
            <w:color w:val="0000EE"/>
          </w:rPr>
          <w:t>Facility Agreement dated June 25, 2019, relating to $130,000,000 Term Loan Facility among GasLog Hellas-1</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Special Maritime Enterprise as Borrower, ABN Amro Bank N.V. and Oversea-Chinese Banking Corporation</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Limited as mandated lead arrangers and ABN Amro Bank N.V. as agent and the security agent; please see</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"Item 5. Operating and Financial Review and Prospects—B. Liquidity and Capital Resources—Credit</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Facilities"**</w:t>
        </w:r>
      </w:hyperlink>
    </w:p>
    <w:p>
      <w:pPr>
        <w:spacing w:after="0" w:line="228" w:lineRule="exact"/>
        <w:rPr>
          <w:rFonts w:ascii="Arial" w:cs="Arial" w:eastAsia="Arial" w:hAnsi="Arial"/>
          <w:sz w:val="18"/>
          <w:szCs w:val="18"/>
          <w:u w:val="single" w:color="auto"/>
          <w:color w:val="0000EE"/>
        </w:rPr>
      </w:pPr>
    </w:p>
    <w:p>
      <w:pPr>
        <w:ind w:left="2140" w:right="519" w:hanging="468"/>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226">
        <w:r>
          <w:rPr>
            <w:rFonts w:ascii="Arial" w:cs="Arial" w:eastAsia="Arial" w:hAnsi="Arial"/>
            <w:sz w:val="18"/>
            <w:szCs w:val="18"/>
            <w:u w:val="single" w:color="auto"/>
            <w:color w:val="0000EE"/>
          </w:rPr>
          <w:t>Form of Corporate Guarantee between GasLog Ltd. and ABN Amro Bank N.V. (provided in respect of the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GasLog Warsaw Facility, dated June 25, 2019); please see "Item 5. Operating and Financial Review and</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Prospects—B. Liquidity and Capital Resources—Credit Facilities"**</w:t>
        </w:r>
      </w:hyperlink>
    </w:p>
    <w:p>
      <w:pPr>
        <w:spacing w:after="0" w:line="194"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157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5" w:lineRule="exact"/>
        <w:rPr>
          <w:sz w:val="20"/>
          <w:szCs w:val="20"/>
          <w:color w:val="auto"/>
        </w:rPr>
      </w:pPr>
    </w:p>
    <w:p>
      <w:pPr>
        <w:ind w:left="2140" w:right="39" w:hanging="468"/>
        <w:spacing w:after="0" w:line="28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4.16</w:t>
      </w:r>
      <w:r>
        <w:rPr>
          <w:sz w:val="20"/>
          <w:szCs w:val="20"/>
          <w:color w:val="auto"/>
        </w:rPr>
        <w:tab/>
      </w:r>
      <w:hyperlink r:id="rId229">
        <w:r>
          <w:rPr>
            <w:rFonts w:ascii="Arial" w:cs="Arial" w:eastAsia="Arial" w:hAnsi="Arial"/>
            <w:sz w:val="16"/>
            <w:szCs w:val="16"/>
            <w:u w:val="single" w:color="auto"/>
            <w:color w:val="0000EE"/>
          </w:rPr>
          <w:t>Facility Agreement dated December 12, 2019, relating to $1,052,791,260 Loan Facilities among GAS-twenty</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eight Ltd.; GAS-thirty Ltd., GAS-thirty one Ltd., GAS-thirty two Ltd., GAS-thirty three Ltd., GAS-thirty</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four Ltd., and GAS-thirty five Ltd., as borrowers, Citibank, N.A. London Branch, DNB (UK) Ltd.,</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Skandinaviska Enskilda Banken AB (publ), Bank of America National Association, Commonwealth Bank of</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Australia, KfW IPEX-Bank GmbH, National Australia Bank Limited, Oversea-Chinese Banking Corporation</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Limited, Societe Generale, London Branch, Standard Chartered Bank, BNP Paribas Seoul Branch and The Korea</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Development Bank as Mandated Lead Arrangers; Citibank, N.A. London Branch, DNB (UK) Ltd.,</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Skandinaviska Enskilda Banken AB (publ), KfW IPEX-Bank GmbH, National Australia Bank Limited, Oversea-</w:t>
        </w:r>
      </w:hyperlink>
      <w:hyperlink r:id="rId229">
        <w:r>
          <w:rPr>
            <w:rFonts w:ascii="Arial" w:cs="Arial" w:eastAsia="Arial" w:hAnsi="Arial"/>
            <w:sz w:val="16"/>
            <w:szCs w:val="16"/>
            <w:u w:val="single" w:color="auto"/>
            <w:color w:val="0000EE"/>
          </w:rPr>
          <w:t>Chinese Banking Corporation Limited, Societe Generale, London Branch, Standard Chartered Bank, BNP</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Paribas Seoul Branch and The Korea Development Bank as bookrunners; DNB Bank ASA, London Branch as</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Agent and security agent; Citibank N.A., London Branch as ECA Agent and ECA Co-ordinator; Citibank N.A.</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London Branch and DNB (UK) Ltd., as Global Co-ordinators and GasLog Ltd., GasLog Carriers Ltd., GasLog</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Partners LP and GasLog Partners Holdings LLC as Guarantors; please see "Item 5. Operating and Financial</w:t>
        </w:r>
      </w:hyperlink>
    </w:p>
    <w:p>
      <w:pPr>
        <w:spacing w:after="0" w:line="6" w:lineRule="exact"/>
        <w:rPr>
          <w:rFonts w:ascii="Arial" w:cs="Arial" w:eastAsia="Arial" w:hAnsi="Arial"/>
          <w:sz w:val="16"/>
          <w:szCs w:val="16"/>
          <w:u w:val="single" w:color="auto"/>
          <w:color w:val="0000EE"/>
        </w:rPr>
      </w:pPr>
    </w:p>
    <w:p>
      <w:pPr>
        <w:jc w:val="center"/>
        <w:ind w:right="-40"/>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Review and Prospects—B. Liquidity and Capital Resources—Credit Facilities"</w:t>
        </w:r>
        <w:r>
          <w:rPr>
            <w:rFonts w:ascii="Arial" w:cs="Arial" w:eastAsia="Arial" w:hAnsi="Arial"/>
            <w:sz w:val="29"/>
            <w:szCs w:val="29"/>
            <w:u w:val="single" w:color="auto"/>
            <w:color w:val="0000EE"/>
            <w:vertAlign w:val="superscript"/>
          </w:rPr>
          <w:t>(8)</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40" w:right="139" w:hanging="468"/>
        <w:spacing w:after="0" w:line="304" w:lineRule="auto"/>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4.17</w:t>
      </w:r>
      <w:r>
        <w:rPr>
          <w:sz w:val="20"/>
          <w:szCs w:val="20"/>
          <w:color w:val="auto"/>
        </w:rPr>
        <w:tab/>
      </w:r>
      <w:hyperlink r:id="rId230">
        <w:r>
          <w:rPr>
            <w:rFonts w:ascii="Arial" w:cs="Arial" w:eastAsia="Arial" w:hAnsi="Arial"/>
            <w:sz w:val="15"/>
            <w:szCs w:val="15"/>
            <w:u w:val="single" w:color="auto"/>
            <w:color w:val="0000EE"/>
          </w:rPr>
          <w:t>Registration Rights Agreement among GasLog Ltd. and the shareholders named therein, dated as of June 22,</w:t>
        </w:r>
      </w:hyperlink>
      <w:r>
        <w:rPr>
          <w:rFonts w:ascii="Arial" w:cs="Arial" w:eastAsia="Arial" w:hAnsi="Arial"/>
          <w:sz w:val="15"/>
          <w:szCs w:val="15"/>
          <w:u w:val="single" w:color="auto"/>
          <w:color w:val="0000EE"/>
        </w:rPr>
        <w:t xml:space="preserve"> </w:t>
      </w:r>
      <w:hyperlink r:id="rId230">
        <w:r>
          <w:rPr>
            <w:rFonts w:ascii="Arial" w:cs="Arial" w:eastAsia="Arial" w:hAnsi="Arial"/>
            <w:sz w:val="15"/>
            <w:szCs w:val="15"/>
            <w:u w:val="single" w:color="auto"/>
            <w:color w:val="0000EE"/>
          </w:rPr>
          <w:t>2020; please see "Item 7. Major Shareholders and Related Party Transactions—B. Related Party Transactions—</w:t>
        </w:r>
      </w:hyperlink>
    </w:p>
    <w:p>
      <w:pPr>
        <w:spacing w:after="0" w:line="1" w:lineRule="exact"/>
        <w:rPr>
          <w:sz w:val="20"/>
          <w:szCs w:val="20"/>
          <w:color w:val="auto"/>
        </w:rPr>
      </w:pPr>
    </w:p>
    <w:p>
      <w:pPr>
        <w:ind w:left="2140"/>
        <w:spacing w:after="0"/>
        <w:rPr>
          <w:rFonts w:ascii="Arial" w:cs="Arial" w:eastAsia="Arial" w:hAnsi="Arial"/>
          <w:sz w:val="18"/>
          <w:szCs w:val="18"/>
          <w:u w:val="single" w:color="auto"/>
          <w:color w:val="0000EE"/>
        </w:rPr>
      </w:pPr>
      <w:hyperlink r:id="rId230">
        <w:r>
          <w:rPr>
            <w:rFonts w:ascii="Arial" w:cs="Arial" w:eastAsia="Arial" w:hAnsi="Arial"/>
            <w:sz w:val="18"/>
            <w:szCs w:val="18"/>
            <w:u w:val="single" w:color="auto"/>
            <w:color w:val="0000EE"/>
          </w:rPr>
          <w:t>Registration Rights Agreement"</w:t>
        </w:r>
        <w:r>
          <w:rPr>
            <w:rFonts w:ascii="Arial" w:cs="Arial" w:eastAsia="Arial" w:hAnsi="Arial"/>
            <w:sz w:val="29"/>
            <w:szCs w:val="29"/>
            <w:u w:val="single" w:color="auto"/>
            <w:color w:val="0000EE"/>
            <w:vertAlign w:val="superscript"/>
          </w:rPr>
          <w:t>(9)</w:t>
        </w:r>
      </w:hyperlink>
    </w:p>
    <w:p>
      <w:pPr>
        <w:spacing w:after="0" w:line="160" w:lineRule="exact"/>
        <w:rPr>
          <w:sz w:val="20"/>
          <w:szCs w:val="20"/>
          <w:color w:val="auto"/>
        </w:rPr>
      </w:pPr>
    </w:p>
    <w:p>
      <w:pPr>
        <w:ind w:left="2140" w:right="79" w:hanging="468"/>
        <w:spacing w:after="0" w:line="256"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4.18</w:t>
      </w:r>
      <w:r>
        <w:rPr>
          <w:sz w:val="20"/>
          <w:szCs w:val="20"/>
          <w:color w:val="auto"/>
        </w:rPr>
        <w:tab/>
      </w:r>
      <w:hyperlink r:id="rId231">
        <w:r>
          <w:rPr>
            <w:rFonts w:ascii="Arial" w:cs="Arial" w:eastAsia="Arial" w:hAnsi="Arial"/>
            <w:sz w:val="18"/>
            <w:szCs w:val="18"/>
            <w:u w:val="single" w:color="auto"/>
            <w:color w:val="0000EE"/>
          </w:rPr>
          <w:t>Facility Agreement dated July 16, 2020, relating to $576,887,500 loan facility among GAS-one Ltd., GAS-</w:t>
        </w:r>
      </w:hyperlink>
      <w:hyperlink r:id="rId231">
        <w:r>
          <w:rPr>
            <w:rFonts w:ascii="Arial" w:cs="Arial" w:eastAsia="Arial" w:hAnsi="Arial"/>
            <w:sz w:val="18"/>
            <w:szCs w:val="18"/>
            <w:u w:val="single" w:color="auto"/>
            <w:color w:val="0000EE"/>
          </w:rPr>
          <w:t>two Ltd., GAS-six Ltd., GAS-nine Ltd., GAS-ten Ltd. and GAS-eighteen Ltd. as borrowers, ABN Amro</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Bank N.V., Citigroup Global Markets Limited, Nordea Bank ABP, Filial I Norge and HSBC Bank PLC as</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mandated lead arrangers and Credit Agricole Corporate and Investment Bank, Unicredit Bank AG and National</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Australia Bank Limited as arrangers, with ABN Amro Bank N.V. as agent and security agent and ABN Amro</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Bank N.V., Citigroup Global Markets Limited and Nordea Bank ABO, Filial I Norge as bookrunners, guaranteed</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by GasLog Ltd., GasLog Carriers Ltd., GasLog Partners LP and GasLog Partners Holdings LLC; please see</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"Item 5. Operating and Financial Review and Prospects—B. Liquidity and Capital Resources—Credit</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Facilities" **</w:t>
        </w:r>
        <w:r>
          <w:rPr>
            <w:rFonts w:ascii="Arial" w:cs="Arial" w:eastAsia="Arial" w:hAnsi="Arial"/>
            <w:sz w:val="29"/>
            <w:szCs w:val="29"/>
            <w:u w:val="single" w:color="auto"/>
            <w:color w:val="0000EE"/>
            <w:vertAlign w:val="superscript"/>
          </w:rPr>
          <w:t>(10)</w:t>
        </w:r>
      </w:hyperlink>
    </w:p>
    <w:p>
      <w:pPr>
        <w:spacing w:after="0" w:line="106" w:lineRule="exact"/>
        <w:rPr>
          <w:rFonts w:ascii="Arial" w:cs="Arial" w:eastAsia="Arial" w:hAnsi="Arial"/>
          <w:sz w:val="18"/>
          <w:szCs w:val="18"/>
          <w:u w:val="single" w:color="auto"/>
          <w:color w:val="0000EE"/>
        </w:rPr>
      </w:pPr>
    </w:p>
    <w:p>
      <w:pPr>
        <w:ind w:left="2140" w:right="239" w:hanging="468"/>
        <w:spacing w:after="0" w:line="302" w:lineRule="auto"/>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4.19</w:t>
      </w:r>
      <w:r>
        <w:rPr>
          <w:sz w:val="20"/>
          <w:szCs w:val="20"/>
          <w:color w:val="auto"/>
        </w:rPr>
        <w:tab/>
      </w:r>
      <w:hyperlink r:id="rId232">
        <w:r>
          <w:rPr>
            <w:rFonts w:ascii="Arial" w:cs="Arial" w:eastAsia="Arial" w:hAnsi="Arial"/>
            <w:sz w:val="15"/>
            <w:szCs w:val="15"/>
            <w:u w:val="single" w:color="auto"/>
            <w:color w:val="0000EE"/>
          </w:rPr>
          <w:t>Facility Agreement dated July 16, 2020, relating to $260,331,250 loan facility among GAS-twenty Ltd., GAS-</w:t>
        </w:r>
      </w:hyperlink>
      <w:hyperlink r:id="rId232">
        <w:r>
          <w:rPr>
            <w:rFonts w:ascii="Arial" w:cs="Arial" w:eastAsia="Arial" w:hAnsi="Arial"/>
            <w:sz w:val="15"/>
            <w:szCs w:val="15"/>
            <w:u w:val="single" w:color="auto"/>
            <w:color w:val="0000EE"/>
          </w:rPr>
          <w:t>seven Ltd. and GAS-eight Ltd., as borrowers, BNP Paribas and Credit Suisse AG, as mandated lead arrangers,</w:t>
        </w:r>
      </w:hyperlink>
      <w:r>
        <w:rPr>
          <w:rFonts w:ascii="Arial" w:cs="Arial" w:eastAsia="Arial" w:hAnsi="Arial"/>
          <w:sz w:val="15"/>
          <w:szCs w:val="15"/>
          <w:u w:val="single" w:color="auto"/>
          <w:color w:val="0000EE"/>
        </w:rPr>
        <w:t xml:space="preserve"> </w:t>
      </w:r>
      <w:hyperlink r:id="rId232">
        <w:r>
          <w:rPr>
            <w:rFonts w:ascii="Arial" w:cs="Arial" w:eastAsia="Arial" w:hAnsi="Arial"/>
            <w:sz w:val="15"/>
            <w:szCs w:val="15"/>
            <w:u w:val="single" w:color="auto"/>
            <w:color w:val="0000EE"/>
          </w:rPr>
          <w:t>with BNP Paribas as agent and security agent and Credit Suisse AG as global co-ordinator and bookrunner,</w:t>
        </w:r>
      </w:hyperlink>
      <w:r>
        <w:rPr>
          <w:rFonts w:ascii="Arial" w:cs="Arial" w:eastAsia="Arial" w:hAnsi="Arial"/>
          <w:sz w:val="15"/>
          <w:szCs w:val="15"/>
          <w:u w:val="single" w:color="auto"/>
          <w:color w:val="0000EE"/>
        </w:rPr>
        <w:t xml:space="preserve"> </w:t>
      </w:r>
      <w:hyperlink r:id="rId232">
        <w:r>
          <w:rPr>
            <w:rFonts w:ascii="Arial" w:cs="Arial" w:eastAsia="Arial" w:hAnsi="Arial"/>
            <w:sz w:val="15"/>
            <w:szCs w:val="15"/>
            <w:u w:val="single" w:color="auto"/>
            <w:color w:val="0000EE"/>
          </w:rPr>
          <w:t>guaranteed by GasLog Partners LP and GasLog Partners Holdings LLC; please see "Item 5. Operating and</w:t>
        </w:r>
      </w:hyperlink>
    </w:p>
    <w:p>
      <w:pPr>
        <w:spacing w:after="0" w:line="2" w:lineRule="exact"/>
        <w:rPr>
          <w:rFonts w:ascii="Arial" w:cs="Arial" w:eastAsia="Arial" w:hAnsi="Arial"/>
          <w:sz w:val="15"/>
          <w:szCs w:val="15"/>
          <w:u w:val="single" w:color="auto"/>
          <w:color w:val="0000EE"/>
        </w:rPr>
      </w:pPr>
    </w:p>
    <w:p>
      <w:pPr>
        <w:ind w:left="2140"/>
        <w:spacing w:after="0"/>
        <w:rPr>
          <w:rFonts w:ascii="Arial" w:cs="Arial" w:eastAsia="Arial" w:hAnsi="Arial"/>
          <w:sz w:val="18"/>
          <w:szCs w:val="18"/>
          <w:u w:val="single" w:color="auto"/>
          <w:color w:val="0000EE"/>
        </w:rPr>
      </w:pPr>
      <w:hyperlink r:id="rId232">
        <w:r>
          <w:rPr>
            <w:rFonts w:ascii="Arial" w:cs="Arial" w:eastAsia="Arial" w:hAnsi="Arial"/>
            <w:sz w:val="18"/>
            <w:szCs w:val="18"/>
            <w:u w:val="single" w:color="auto"/>
            <w:color w:val="0000EE"/>
          </w:rPr>
          <w:t>Financial Review and Prospects—B. Liquidity and Capital Resources—Credit Facilities" **</w:t>
        </w:r>
        <w:r>
          <w:rPr>
            <w:rFonts w:ascii="Arial" w:cs="Arial" w:eastAsia="Arial" w:hAnsi="Arial"/>
            <w:sz w:val="29"/>
            <w:szCs w:val="29"/>
            <w:u w:val="single" w:color="auto"/>
            <w:color w:val="0000EE"/>
            <w:vertAlign w:val="superscript"/>
          </w:rPr>
          <w:t>(11)</w:t>
        </w:r>
      </w:hyperlink>
    </w:p>
    <w:p>
      <w:pPr>
        <w:spacing w:after="0" w:line="160" w:lineRule="exact"/>
        <w:rPr>
          <w:rFonts w:ascii="Arial" w:cs="Arial" w:eastAsia="Arial" w:hAnsi="Arial"/>
          <w:sz w:val="15"/>
          <w:szCs w:val="15"/>
          <w:u w:val="single" w:color="auto"/>
          <w:color w:val="0000EE"/>
        </w:rPr>
      </w:pPr>
    </w:p>
    <w:p>
      <w:pPr>
        <w:ind w:left="2140" w:right="199" w:hanging="468"/>
        <w:spacing w:after="0" w:line="302" w:lineRule="auto"/>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4.20</w:t>
      </w:r>
      <w:r>
        <w:rPr>
          <w:sz w:val="20"/>
          <w:szCs w:val="20"/>
          <w:color w:val="auto"/>
        </w:rPr>
        <w:tab/>
      </w:r>
      <w:hyperlink r:id="rId233">
        <w:r>
          <w:rPr>
            <w:rFonts w:ascii="Arial" w:cs="Arial" w:eastAsia="Arial" w:hAnsi="Arial"/>
            <w:sz w:val="15"/>
            <w:szCs w:val="15"/>
            <w:u w:val="single" w:color="auto"/>
            <w:color w:val="0000EE"/>
          </w:rPr>
          <w:t>Facility Agreement dated July 16, 2020, relating to $200,000,000 loan facility among GAS-twenty seven Ltd.,</w:t>
        </w:r>
      </w:hyperlink>
      <w:r>
        <w:rPr>
          <w:rFonts w:ascii="Arial" w:cs="Arial" w:eastAsia="Arial" w:hAnsi="Arial"/>
          <w:sz w:val="15"/>
          <w:szCs w:val="15"/>
          <w:u w:val="single" w:color="auto"/>
          <w:color w:val="0000EE"/>
        </w:rPr>
        <w:t xml:space="preserve"> </w:t>
      </w:r>
      <w:hyperlink r:id="rId233">
        <w:r>
          <w:rPr>
            <w:rFonts w:ascii="Arial" w:cs="Arial" w:eastAsia="Arial" w:hAnsi="Arial"/>
            <w:sz w:val="15"/>
            <w:szCs w:val="15"/>
            <w:u w:val="single" w:color="auto"/>
            <w:color w:val="0000EE"/>
          </w:rPr>
          <w:t>GAS-twenty one Ltd. and GAS-nineteen Ltd., as borrowers, DNB (UK) Ltd. and ING Bank N.V., London</w:t>
        </w:r>
      </w:hyperlink>
      <w:r>
        <w:rPr>
          <w:rFonts w:ascii="Arial" w:cs="Arial" w:eastAsia="Arial" w:hAnsi="Arial"/>
          <w:sz w:val="15"/>
          <w:szCs w:val="15"/>
          <w:u w:val="single" w:color="auto"/>
          <w:color w:val="0000EE"/>
        </w:rPr>
        <w:t xml:space="preserve"> </w:t>
      </w:r>
      <w:hyperlink r:id="rId233">
        <w:r>
          <w:rPr>
            <w:rFonts w:ascii="Arial" w:cs="Arial" w:eastAsia="Arial" w:hAnsi="Arial"/>
            <w:sz w:val="15"/>
            <w:szCs w:val="15"/>
            <w:u w:val="single" w:color="auto"/>
            <w:color w:val="0000EE"/>
          </w:rPr>
          <w:t>Branch, as mandated lead arrangers, with DNB Bank ASA, London Branch as agent and security agent, DNB</w:t>
        </w:r>
      </w:hyperlink>
      <w:r>
        <w:rPr>
          <w:rFonts w:ascii="Arial" w:cs="Arial" w:eastAsia="Arial" w:hAnsi="Arial"/>
          <w:sz w:val="15"/>
          <w:szCs w:val="15"/>
          <w:u w:val="single" w:color="auto"/>
          <w:color w:val="0000EE"/>
        </w:rPr>
        <w:t xml:space="preserve"> </w:t>
      </w:r>
      <w:hyperlink r:id="rId233">
        <w:r>
          <w:rPr>
            <w:rFonts w:ascii="Arial" w:cs="Arial" w:eastAsia="Arial" w:hAnsi="Arial"/>
            <w:sz w:val="15"/>
            <w:szCs w:val="15"/>
            <w:u w:val="single" w:color="auto"/>
            <w:color w:val="0000EE"/>
          </w:rPr>
          <w:t>(UK) Ltd. and ING Bank N.V., London Branch as bookrunners and ING Bank N.V, London Branch as</w:t>
        </w:r>
      </w:hyperlink>
      <w:r>
        <w:rPr>
          <w:rFonts w:ascii="Arial" w:cs="Arial" w:eastAsia="Arial" w:hAnsi="Arial"/>
          <w:sz w:val="15"/>
          <w:szCs w:val="15"/>
          <w:u w:val="single" w:color="auto"/>
          <w:color w:val="0000EE"/>
        </w:rPr>
        <w:t xml:space="preserve"> </w:t>
      </w:r>
      <w:hyperlink r:id="rId233">
        <w:r>
          <w:rPr>
            <w:rFonts w:ascii="Arial" w:cs="Arial" w:eastAsia="Arial" w:hAnsi="Arial"/>
            <w:sz w:val="15"/>
            <w:szCs w:val="15"/>
            <w:u w:val="single" w:color="auto"/>
            <w:color w:val="0000EE"/>
          </w:rPr>
          <w:t>structuring and documentation bank, guaranteed by GasLog Partners LP, GasLog Partners Holdings LLC,</w:t>
        </w:r>
      </w:hyperlink>
      <w:r>
        <w:rPr>
          <w:rFonts w:ascii="Arial" w:cs="Arial" w:eastAsia="Arial" w:hAnsi="Arial"/>
          <w:sz w:val="15"/>
          <w:szCs w:val="15"/>
          <w:u w:val="single" w:color="auto"/>
          <w:color w:val="0000EE"/>
        </w:rPr>
        <w:t xml:space="preserve"> </w:t>
      </w:r>
      <w:hyperlink r:id="rId233">
        <w:r>
          <w:rPr>
            <w:rFonts w:ascii="Arial" w:cs="Arial" w:eastAsia="Arial" w:hAnsi="Arial"/>
            <w:sz w:val="15"/>
            <w:szCs w:val="15"/>
            <w:u w:val="single" w:color="auto"/>
            <w:color w:val="0000EE"/>
          </w:rPr>
          <w:t>GasLog Ltd. and GasLog Carriers Ltd.; please see "Item 5. Operating and Financial Review and Prospects—B.</w:t>
        </w:r>
      </w:hyperlink>
    </w:p>
    <w:p>
      <w:pPr>
        <w:ind w:left="2140"/>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Liquidity and Capital Resources—Credit Facilities" **</w:t>
        </w:r>
        <w:r>
          <w:rPr>
            <w:rFonts w:ascii="Arial" w:cs="Arial" w:eastAsia="Arial" w:hAnsi="Arial"/>
            <w:sz w:val="29"/>
            <w:szCs w:val="29"/>
            <w:u w:val="single" w:color="auto"/>
            <w:color w:val="0000EE"/>
            <w:vertAlign w:val="superscript"/>
          </w:rPr>
          <w:t>(11)</w:t>
        </w:r>
      </w:hyperlink>
    </w:p>
    <w:p>
      <w:pPr>
        <w:spacing w:after="0" w:line="133" w:lineRule="exact"/>
        <w:rPr>
          <w:rFonts w:ascii="Arial" w:cs="Arial" w:eastAsia="Arial" w:hAnsi="Arial"/>
          <w:sz w:val="15"/>
          <w:szCs w:val="15"/>
          <w:u w:val="single" w:color="auto"/>
          <w:color w:val="0000EE"/>
        </w:rPr>
      </w:pPr>
    </w:p>
    <w:p>
      <w:pPr>
        <w:ind w:left="5500"/>
        <w:spacing w:after="0"/>
        <w:rPr>
          <w:sz w:val="20"/>
          <w:szCs w:val="20"/>
          <w:color w:val="auto"/>
        </w:rPr>
      </w:pPr>
      <w:r>
        <w:rPr>
          <w:rFonts w:ascii="Arial" w:cs="Arial" w:eastAsia="Arial" w:hAnsi="Arial"/>
          <w:sz w:val="18"/>
          <w:szCs w:val="18"/>
          <w:color w:val="auto"/>
        </w:rPr>
        <w:t>158</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gridSpan w:val="13"/>
          </w:tcPr>
          <w:p>
            <w:pPr>
              <w:ind w:left="7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960" w:type="dxa"/>
            <w:vAlign w:val="bottom"/>
            <w:tcBorders>
              <w:top w:val="single" w:sz="8" w:color="auto"/>
            </w:tcBorders>
            <w:gridSpan w:val="17"/>
          </w:tcPr>
          <w:p>
            <w:pPr>
              <w:spacing w:after="0" w:line="169" w:lineRule="exact"/>
              <w:rPr>
                <w:rFonts w:ascii="Arial" w:cs="Arial" w:eastAsia="Arial" w:hAnsi="Arial"/>
                <w:sz w:val="18"/>
                <w:szCs w:val="18"/>
                <w:color w:val="0000EE"/>
                <w:w w:val="95"/>
              </w:rPr>
            </w:pPr>
            <w:hyperlink w:anchor="page253">
              <w:r>
                <w:rPr>
                  <w:rFonts w:ascii="Arial" w:cs="Arial" w:eastAsia="Arial" w:hAnsi="Arial"/>
                  <w:sz w:val="18"/>
                  <w:szCs w:val="18"/>
                  <w:color w:val="0000EE"/>
                  <w:w w:val="95"/>
                </w:rPr>
                <w:t xml:space="preserve">Facility Agreement dated July 30, 2020, relating to a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96,800,000 loan facility among GAS-fifteen Ltd.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53">
              <w:r>
                <w:rPr>
                  <w:rFonts w:ascii="Arial" w:cs="Arial" w:eastAsia="Arial" w:hAnsi="Arial"/>
                  <w:sz w:val="18"/>
                  <w:szCs w:val="18"/>
                  <w:color w:val="0000EE"/>
                  <w:w w:val="88"/>
                </w:rPr>
                <w:t>Borrower and National Bank of Greece S.A. as Arranger, Agent and Security Agent, guaranteed by GasLog Ltd.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8"/>
          </w:tcPr>
          <w:p>
            <w:pPr>
              <w:spacing w:after="0" w:line="196" w:lineRule="exact"/>
              <w:rPr>
                <w:rFonts w:ascii="Arial" w:cs="Arial" w:eastAsia="Arial" w:hAnsi="Arial"/>
                <w:sz w:val="18"/>
                <w:szCs w:val="18"/>
                <w:color w:val="0000EE"/>
                <w:w w:val="89"/>
              </w:rPr>
            </w:pPr>
            <w:hyperlink w:anchor="page253">
              <w:r>
                <w:rPr>
                  <w:rFonts w:ascii="Arial" w:cs="Arial" w:eastAsia="Arial" w:hAnsi="Arial"/>
                  <w:sz w:val="18"/>
                  <w:szCs w:val="18"/>
                  <w:color w:val="0000EE"/>
                  <w:w w:val="89"/>
                </w:rPr>
                <w:t>and GasLog Carriers Ltd.; please see "Item 5. Operating and Financial Review and Prospects—B. Liquidity and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Capital Resources—Credit Facilities". **</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4"/>
                <w:szCs w:val="24"/>
                <w:color w:val="auto"/>
              </w:rPr>
            </w:pPr>
          </w:p>
        </w:tc>
        <w:tc>
          <w:tcPr>
            <w:tcW w:w="7780" w:type="dxa"/>
            <w:vAlign w:val="bottom"/>
            <w:tcBorders>
              <w:bottom w:val="single" w:sz="8" w:color="0000EE"/>
            </w:tcBorders>
            <w:gridSpan w:val="12"/>
          </w:tcPr>
          <w:p>
            <w:pPr>
              <w:spacing w:after="0"/>
              <w:rPr>
                <w:rFonts w:ascii="Arial" w:cs="Arial" w:eastAsia="Arial" w:hAnsi="Arial"/>
                <w:sz w:val="18"/>
                <w:szCs w:val="18"/>
                <w:color w:val="0000EE"/>
                <w:w w:val="88"/>
              </w:rPr>
            </w:pPr>
            <w:hyperlink r:id="rId235">
              <w:r>
                <w:rPr>
                  <w:rFonts w:ascii="Arial" w:cs="Arial" w:eastAsia="Arial" w:hAnsi="Arial"/>
                  <w:sz w:val="18"/>
                  <w:szCs w:val="18"/>
                  <w:color w:val="0000EE"/>
                  <w:w w:val="88"/>
                </w:rPr>
                <w:t>Agreement and Plan of Merger dated February 21, 2021 among GasLog Ltd., GEPIF III Crown Bidco L.P. and</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235">
              <w:r>
                <w:rPr>
                  <w:rFonts w:ascii="Arial" w:cs="Arial" w:eastAsia="Arial" w:hAnsi="Arial"/>
                  <w:sz w:val="18"/>
                  <w:szCs w:val="18"/>
                  <w:color w:val="0000EE"/>
                  <w:w w:val="88"/>
                </w:rPr>
                <w:t>GEPIF III Crown MergerCo Limited see Item 7. Major Shareholders and Related Party Transactions—B. Related</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gridSpan w:val="6"/>
            <w:vMerge w:val="restart"/>
          </w:tcPr>
          <w:p>
            <w:pPr>
              <w:spacing w:after="0"/>
              <w:rPr>
                <w:rFonts w:ascii="Arial" w:cs="Arial" w:eastAsia="Arial" w:hAnsi="Arial"/>
                <w:sz w:val="18"/>
                <w:szCs w:val="18"/>
                <w:color w:val="0000EE"/>
                <w:w w:val="88"/>
              </w:rPr>
            </w:pPr>
            <w:hyperlink r:id="rId235">
              <w:r>
                <w:rPr>
                  <w:rFonts w:ascii="Arial" w:cs="Arial" w:eastAsia="Arial" w:hAnsi="Arial"/>
                  <w:sz w:val="18"/>
                  <w:szCs w:val="18"/>
                  <w:color w:val="0000EE"/>
                  <w:w w:val="88"/>
                </w:rPr>
                <w:t>Party Transactions—Merger and Rollover Agreements"</w:t>
              </w:r>
            </w:hyperlink>
          </w:p>
        </w:tc>
        <w:tc>
          <w:tcPr>
            <w:tcW w:w="24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2"/>
              </w:rPr>
            </w:pPr>
            <w:hyperlink r:id="rId235">
              <w:r>
                <w:rPr>
                  <w:rFonts w:ascii="Arial" w:cs="Arial" w:eastAsia="Arial" w:hAnsi="Arial"/>
                  <w:sz w:val="15"/>
                  <w:szCs w:val="15"/>
                  <w:color w:val="0000EE"/>
                  <w:w w:val="82"/>
                </w:rPr>
                <w:t>(12)</w:t>
              </w:r>
            </w:hyperlink>
          </w:p>
        </w:tc>
        <w:tc>
          <w:tcPr>
            <w:tcW w:w="9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340" w:type="dxa"/>
            <w:vAlign w:val="bottom"/>
            <w:vMerge w:val="restart"/>
          </w:tcPr>
          <w:p>
            <w:pPr>
              <w:spacing w:after="0"/>
              <w:rPr>
                <w:sz w:val="14"/>
                <w:szCs w:val="14"/>
                <w:color w:val="auto"/>
              </w:rPr>
            </w:pPr>
          </w:p>
        </w:tc>
        <w:tc>
          <w:tcPr>
            <w:tcW w:w="36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900" w:type="dxa"/>
            <w:vAlign w:val="bottom"/>
            <w:tcBorders>
              <w:bottom w:val="single" w:sz="8" w:color="0000EE"/>
            </w:tcBorders>
            <w:gridSpan w:val="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24"/>
                <w:szCs w:val="24"/>
                <w:color w:val="auto"/>
              </w:rPr>
            </w:pPr>
          </w:p>
        </w:tc>
        <w:tc>
          <w:tcPr>
            <w:tcW w:w="7980" w:type="dxa"/>
            <w:vAlign w:val="bottom"/>
            <w:gridSpan w:val="18"/>
          </w:tcPr>
          <w:p>
            <w:pPr>
              <w:spacing w:after="0"/>
              <w:rPr>
                <w:rFonts w:ascii="Arial" w:cs="Arial" w:eastAsia="Arial" w:hAnsi="Arial"/>
                <w:sz w:val="18"/>
                <w:szCs w:val="18"/>
                <w:color w:val="0000EE"/>
                <w:w w:val="90"/>
              </w:rPr>
            </w:pPr>
            <w:hyperlink r:id="rId236">
              <w:r>
                <w:rPr>
                  <w:rFonts w:ascii="Arial" w:cs="Arial" w:eastAsia="Arial" w:hAnsi="Arial"/>
                  <w:sz w:val="18"/>
                  <w:szCs w:val="18"/>
                  <w:color w:val="0000EE"/>
                  <w:w w:val="90"/>
                </w:rPr>
                <w:t>Rollover Agreement dated February 21, 2021 among GasLog Ltd., GEPIF III Crown Bidco L.P. and the Rolling</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r:id="rId236">
              <w:r>
                <w:rPr>
                  <w:rFonts w:ascii="Arial" w:cs="Arial" w:eastAsia="Arial" w:hAnsi="Arial"/>
                  <w:sz w:val="18"/>
                  <w:szCs w:val="18"/>
                  <w:color w:val="0000EE"/>
                  <w:w w:val="87"/>
                </w:rPr>
                <w:t>Shareholders see Item 7. Major Shareholders and Related Party Transactions—B. Related Party Transactions—</w:t>
              </w:r>
            </w:hyperlink>
          </w:p>
        </w:tc>
        <w:tc>
          <w:tcPr>
            <w:tcW w:w="40" w:type="dxa"/>
            <w:vAlign w:val="bottom"/>
            <w:tcBorders>
              <w:top w:val="single" w:sz="8" w:color="0000EE"/>
            </w:tcBorders>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2"/>
            <w:vMerge w:val="restart"/>
          </w:tcPr>
          <w:p>
            <w:pPr>
              <w:spacing w:after="0"/>
              <w:rPr>
                <w:rFonts w:ascii="Arial" w:cs="Arial" w:eastAsia="Arial" w:hAnsi="Arial"/>
                <w:sz w:val="18"/>
                <w:szCs w:val="18"/>
                <w:color w:val="0000EE"/>
                <w:w w:val="88"/>
              </w:rPr>
            </w:pPr>
            <w:hyperlink r:id="rId236">
              <w:r>
                <w:rPr>
                  <w:rFonts w:ascii="Arial" w:cs="Arial" w:eastAsia="Arial" w:hAnsi="Arial"/>
                  <w:sz w:val="18"/>
                  <w:szCs w:val="18"/>
                  <w:color w:val="0000EE"/>
                  <w:w w:val="88"/>
                </w:rPr>
                <w:t>Merger and Rollover Agreements"</w:t>
              </w:r>
            </w:hyperlink>
          </w:p>
        </w:tc>
        <w:tc>
          <w:tcPr>
            <w:tcW w:w="240" w:type="dxa"/>
            <w:vAlign w:val="bottom"/>
            <w:tcBorders>
              <w:bottom w:val="single" w:sz="8" w:color="0000EE"/>
            </w:tcBorders>
            <w:gridSpan w:val="2"/>
          </w:tcPr>
          <w:p>
            <w:pPr>
              <w:jc w:val="right"/>
              <w:spacing w:after="0" w:line="156" w:lineRule="exact"/>
              <w:rPr>
                <w:rFonts w:ascii="Arial" w:cs="Arial" w:eastAsia="Arial" w:hAnsi="Arial"/>
                <w:sz w:val="15"/>
                <w:szCs w:val="15"/>
                <w:color w:val="0000EE"/>
                <w:w w:val="82"/>
              </w:rPr>
            </w:pPr>
            <w:hyperlink r:id="rId236">
              <w:r>
                <w:rPr>
                  <w:rFonts w:ascii="Arial" w:cs="Arial" w:eastAsia="Arial" w:hAnsi="Arial"/>
                  <w:sz w:val="15"/>
                  <w:szCs w:val="15"/>
                  <w:color w:val="0000EE"/>
                  <w:w w:val="82"/>
                </w:rPr>
                <w:t>(12)</w:t>
              </w:r>
            </w:hyperlink>
          </w:p>
        </w:tc>
        <w:tc>
          <w:tcPr>
            <w:tcW w:w="2440" w:type="dxa"/>
            <w:vAlign w:val="bottom"/>
            <w:gridSpan w:val="5"/>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340" w:type="dxa"/>
            <w:vAlign w:val="bottom"/>
            <w:vMerge w:val="restart"/>
          </w:tcPr>
          <w:p>
            <w:pPr>
              <w:spacing w:after="0"/>
              <w:rPr>
                <w:sz w:val="14"/>
                <w:szCs w:val="14"/>
                <w:color w:val="auto"/>
              </w:rPr>
            </w:pPr>
          </w:p>
        </w:tc>
        <w:tc>
          <w:tcPr>
            <w:tcW w:w="480" w:type="dxa"/>
            <w:vAlign w:val="bottom"/>
            <w:gridSpan w:val="5"/>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340" w:type="dxa"/>
            <w:vAlign w:val="bottom"/>
            <w:vMerge w:val="continue"/>
          </w:tcPr>
          <w:p>
            <w:pPr>
              <w:spacing w:after="0"/>
              <w:rPr>
                <w:sz w:val="4"/>
                <w:szCs w:val="4"/>
                <w:color w:val="auto"/>
              </w:rPr>
            </w:pPr>
          </w:p>
        </w:tc>
        <w:tc>
          <w:tcPr>
            <w:tcW w:w="480" w:type="dxa"/>
            <w:vAlign w:val="bottom"/>
            <w:gridSpan w:val="5"/>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7"/>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7980" w:type="dxa"/>
            <w:vAlign w:val="bottom"/>
            <w:gridSpan w:val="18"/>
          </w:tcPr>
          <w:p>
            <w:pPr>
              <w:spacing w:after="0"/>
              <w:rPr>
                <w:rFonts w:ascii="Arial" w:cs="Arial" w:eastAsia="Arial" w:hAnsi="Arial"/>
                <w:sz w:val="18"/>
                <w:szCs w:val="18"/>
                <w:u w:val="single" w:color="auto"/>
                <w:color w:val="0000EE"/>
              </w:rPr>
            </w:pPr>
            <w:hyperlink w:anchor="page410">
              <w:r>
                <w:rPr>
                  <w:rFonts w:ascii="Arial" w:cs="Arial" w:eastAsia="Arial" w:hAnsi="Arial"/>
                  <w:sz w:val="18"/>
                  <w:szCs w:val="18"/>
                  <w:u w:val="single" w:color="auto"/>
                  <w:color w:val="0000EE"/>
                </w:rPr>
                <w:t>List of Subsidiaries of GasLog Ltd.</w:t>
              </w:r>
            </w:hyperlink>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7980" w:type="dxa"/>
            <w:vAlign w:val="bottom"/>
            <w:gridSpan w:val="18"/>
          </w:tcPr>
          <w:p>
            <w:pPr>
              <w:spacing w:after="0"/>
              <w:rPr>
                <w:rFonts w:ascii="Arial" w:cs="Arial" w:eastAsia="Arial" w:hAnsi="Arial"/>
                <w:sz w:val="18"/>
                <w:szCs w:val="18"/>
                <w:u w:val="single" w:color="auto"/>
                <w:color w:val="0000EE"/>
              </w:rPr>
            </w:pPr>
            <w:hyperlink w:anchor="page412">
              <w:r>
                <w:rPr>
                  <w:rFonts w:ascii="Arial" w:cs="Arial" w:eastAsia="Arial" w:hAnsi="Arial"/>
                  <w:sz w:val="18"/>
                  <w:szCs w:val="18"/>
                  <w:u w:val="single" w:color="auto"/>
                  <w:color w:val="0000EE"/>
                </w:rPr>
                <w:t>Rule 13a-14(a)/15d-14(a) Certification of GasLog Ltd.'s Chief Executive Officer</w:t>
              </w:r>
            </w:hyperlink>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4"/>
                <w:szCs w:val="24"/>
                <w:color w:val="auto"/>
              </w:rPr>
            </w:pPr>
          </w:p>
        </w:tc>
        <w:tc>
          <w:tcPr>
            <w:tcW w:w="7980" w:type="dxa"/>
            <w:vAlign w:val="bottom"/>
            <w:gridSpan w:val="18"/>
          </w:tcPr>
          <w:p>
            <w:pPr>
              <w:spacing w:after="0"/>
              <w:rPr>
                <w:rFonts w:ascii="Arial" w:cs="Arial" w:eastAsia="Arial" w:hAnsi="Arial"/>
                <w:sz w:val="18"/>
                <w:szCs w:val="18"/>
                <w:u w:val="single" w:color="auto"/>
                <w:color w:val="0000EE"/>
              </w:rPr>
            </w:pPr>
            <w:hyperlink w:anchor="page414">
              <w:r>
                <w:rPr>
                  <w:rFonts w:ascii="Arial" w:cs="Arial" w:eastAsia="Arial" w:hAnsi="Arial"/>
                  <w:sz w:val="18"/>
                  <w:szCs w:val="18"/>
                  <w:u w:val="single" w:color="auto"/>
                  <w:color w:val="0000EE"/>
                </w:rPr>
                <w:t>Rule 13a-14(a)/15d-14(a) Certification of GasLog Ltd.'s Chief Financial Officer</w:t>
              </w:r>
            </w:hyperlink>
          </w:p>
        </w:tc>
        <w:tc>
          <w:tcPr>
            <w:tcW w:w="0" w:type="dxa"/>
            <w:vAlign w:val="bottom"/>
          </w:tcPr>
          <w:p>
            <w:pPr>
              <w:spacing w:after="0"/>
              <w:rPr>
                <w:sz w:val="1"/>
                <w:szCs w:val="1"/>
                <w:color w:val="auto"/>
              </w:rPr>
            </w:pPr>
          </w:p>
        </w:tc>
      </w:tr>
      <w:tr>
        <w:trPr>
          <w:trHeight w:val="421"/>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7980" w:type="dxa"/>
            <w:vAlign w:val="bottom"/>
            <w:gridSpan w:val="18"/>
          </w:tcPr>
          <w:p>
            <w:pPr>
              <w:spacing w:after="0"/>
              <w:rPr>
                <w:rFonts w:ascii="Arial" w:cs="Arial" w:eastAsia="Arial" w:hAnsi="Arial"/>
                <w:sz w:val="18"/>
                <w:szCs w:val="18"/>
                <w:color w:val="0000EE"/>
                <w:w w:val="95"/>
              </w:rPr>
            </w:pPr>
            <w:hyperlink w:anchor="page416">
              <w:r>
                <w:rPr>
                  <w:rFonts w:ascii="Arial" w:cs="Arial" w:eastAsia="Arial" w:hAnsi="Arial"/>
                  <w:sz w:val="18"/>
                  <w:szCs w:val="18"/>
                  <w:color w:val="0000EE"/>
                  <w:w w:val="95"/>
                </w:rPr>
                <w:t>GasLog Ltd. Certification of Paul Wogan, Chief Executive Officer, pursuant to 18 U.S.C. Section 1350,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16">
              <w:r>
                <w:rPr>
                  <w:rFonts w:ascii="Arial" w:cs="Arial" w:eastAsia="Arial" w:hAnsi="Arial"/>
                  <w:sz w:val="18"/>
                  <w:szCs w:val="18"/>
                  <w:color w:val="0000EE"/>
                  <w:w w:val="87"/>
                </w:rPr>
                <w:t>adopted pursuant to Section 906 of the U.S. Sarbanes-Oxley Act of 2002</w:t>
              </w:r>
            </w:hyperlink>
          </w:p>
        </w:tc>
        <w:tc>
          <w:tcPr>
            <w:tcW w:w="2340" w:type="dxa"/>
            <w:vAlign w:val="bottom"/>
            <w:tcBorders>
              <w:top w:val="single" w:sz="8" w:color="0000EE"/>
            </w:tcBorders>
          </w:tcPr>
          <w:p>
            <w:pPr>
              <w:spacing w:after="0"/>
              <w:rPr>
                <w:sz w:val="17"/>
                <w:szCs w:val="17"/>
                <w:color w:val="auto"/>
              </w:rPr>
            </w:pPr>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79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18">
              <w:r>
                <w:rPr>
                  <w:rFonts w:ascii="Arial" w:cs="Arial" w:eastAsia="Arial" w:hAnsi="Arial"/>
                  <w:sz w:val="18"/>
                  <w:szCs w:val="18"/>
                  <w:color w:val="0000EE"/>
                  <w:w w:val="89"/>
                </w:rPr>
                <w:t>GasLog Ltd. Certification of Achilleas Tasioulas, Chief Financial Officer, pursuant to 18 U.S.C. Section 1350, as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gridSpan w:val="18"/>
          </w:tcPr>
          <w:p>
            <w:pPr>
              <w:spacing w:after="0" w:line="196" w:lineRule="exact"/>
              <w:rPr>
                <w:rFonts w:ascii="Arial" w:cs="Arial" w:eastAsia="Arial" w:hAnsi="Arial"/>
                <w:sz w:val="18"/>
                <w:szCs w:val="18"/>
                <w:color w:val="0000EE"/>
              </w:rPr>
            </w:pPr>
            <w:hyperlink w:anchor="page418">
              <w:r>
                <w:rPr>
                  <w:rFonts w:ascii="Arial" w:cs="Arial" w:eastAsia="Arial" w:hAnsi="Arial"/>
                  <w:sz w:val="18"/>
                  <w:szCs w:val="18"/>
                  <w:color w:val="0000EE"/>
                </w:rPr>
                <w:t>adopted pursuant to Section 906 of the U.S. Sarbanes-Oxley Act of 2002</w:t>
              </w:r>
            </w:hyperlink>
          </w:p>
        </w:tc>
        <w:tc>
          <w:tcPr>
            <w:tcW w:w="0" w:type="dxa"/>
            <w:vAlign w:val="bottom"/>
          </w:tcPr>
          <w:p>
            <w:pPr>
              <w:spacing w:after="0"/>
              <w:rPr>
                <w:sz w:val="1"/>
                <w:szCs w:val="1"/>
                <w:color w:val="auto"/>
              </w:rPr>
            </w:pPr>
          </w:p>
        </w:tc>
      </w:tr>
      <w:tr>
        <w:trPr>
          <w:trHeight w:val="477"/>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510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420">
              <w:r>
                <w:rPr>
                  <w:rFonts w:ascii="Arial" w:cs="Arial" w:eastAsia="Arial" w:hAnsi="Arial"/>
                  <w:sz w:val="18"/>
                  <w:szCs w:val="18"/>
                  <w:u w:val="single" w:color="auto"/>
                  <w:color w:val="0000EE"/>
                </w:rPr>
                <w:t>Consent of Deloitte LLP</w:t>
              </w:r>
            </w:hyperlink>
          </w:p>
        </w:tc>
        <w:tc>
          <w:tcPr>
            <w:tcW w:w="2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8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F-1 (File No. 333-179034), declared effective by the SEC on March 29, 2012, and hereby incorporated by reference to such Registration Statement.</w:t>
      </w:r>
    </w:p>
    <w:p>
      <w:pPr>
        <w:spacing w:after="0" w:line="90" w:lineRule="exact"/>
        <w:rPr>
          <w:rFonts w:ascii="Arial" w:cs="Arial" w:eastAsia="Arial" w:hAnsi="Arial"/>
          <w:sz w:val="11"/>
          <w:szCs w:val="11"/>
          <w:color w:val="auto"/>
        </w:rPr>
      </w:pPr>
    </w:p>
    <w:p>
      <w:pPr>
        <w:ind w:left="1680" w:right="16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May 24, 2013, and hereby incorporated by reference to such Report.</w:t>
      </w:r>
    </w:p>
    <w:p>
      <w:pPr>
        <w:spacing w:after="0" w:line="90" w:lineRule="exact"/>
        <w:rPr>
          <w:rFonts w:ascii="Arial" w:cs="Arial" w:eastAsia="Arial" w:hAnsi="Arial"/>
          <w:sz w:val="11"/>
          <w:szCs w:val="11"/>
          <w:color w:val="auto"/>
        </w:rPr>
      </w:pPr>
    </w:p>
    <w:p>
      <w:pPr>
        <w:ind w:left="1680" w:right="4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90"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Ltd.'s Annual Report on Form 20-F (File No. 001-35466), filed with the SEC on March 14, 2016, and hereby incorporated by reference to such Report.</w:t>
      </w:r>
    </w:p>
    <w:p>
      <w:pPr>
        <w:spacing w:after="0" w:line="90" w:lineRule="exact"/>
        <w:rPr>
          <w:rFonts w:ascii="Arial" w:cs="Arial" w:eastAsia="Arial" w:hAnsi="Arial"/>
          <w:sz w:val="11"/>
          <w:szCs w:val="11"/>
          <w:color w:val="auto"/>
        </w:rPr>
      </w:pPr>
    </w:p>
    <w:p>
      <w:pPr>
        <w:ind w:left="1680" w:right="10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August 4, 2016, and hereby incorporated by reference to such Report.</w:t>
      </w:r>
    </w:p>
    <w:p>
      <w:pPr>
        <w:spacing w:after="0" w:line="90"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February 26, 2019, and hereby incorporated by reference to such Report.</w:t>
      </w:r>
    </w:p>
    <w:p>
      <w:pPr>
        <w:spacing w:after="0" w:line="90" w:lineRule="exact"/>
        <w:rPr>
          <w:rFonts w:ascii="Arial" w:cs="Arial" w:eastAsia="Arial" w:hAnsi="Arial"/>
          <w:sz w:val="11"/>
          <w:szCs w:val="11"/>
          <w:color w:val="auto"/>
        </w:rPr>
      </w:pPr>
    </w:p>
    <w:p>
      <w:pPr>
        <w:ind w:left="1680" w:right="40" w:hanging="549"/>
        <w:spacing w:after="0" w:line="274" w:lineRule="auto"/>
        <w:tabs>
          <w:tab w:leader="none" w:pos="1680" w:val="left"/>
        </w:tabs>
        <w:numPr>
          <w:ilvl w:val="0"/>
          <w:numId w:val="102"/>
        </w:numPr>
        <w:rPr>
          <w:rFonts w:ascii="Arial" w:cs="Arial" w:eastAsia="Arial" w:hAnsi="Arial"/>
          <w:sz w:val="11"/>
          <w:szCs w:val="11"/>
          <w:color w:val="auto"/>
        </w:rPr>
      </w:pPr>
      <w:r>
        <w:rPr>
          <w:rFonts w:ascii="Arial" w:cs="Arial" w:eastAsia="Arial" w:hAnsi="Arial"/>
          <w:sz w:val="13"/>
          <w:szCs w:val="13"/>
          <w:color w:val="auto"/>
        </w:rPr>
        <w:t>Previously filed as Exhibit 10.1 to GasLog Partners LP's Report on Form 6-K (File No. 001-36433), filed with the SEC on June 24, 2019, and hereby incorporated by reference to such Report.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220" w:hanging="549"/>
        <w:spacing w:after="0" w:line="274" w:lineRule="auto"/>
        <w:tabs>
          <w:tab w:leader="none" w:pos="16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March 3, 2020, and hereby incorporated by reference to such Report.</w:t>
      </w:r>
    </w:p>
    <w:p>
      <w:pPr>
        <w:spacing w:after="0" w:line="90" w:lineRule="exact"/>
        <w:rPr>
          <w:rFonts w:ascii="Arial" w:cs="Arial" w:eastAsia="Arial" w:hAnsi="Arial"/>
          <w:sz w:val="11"/>
          <w:szCs w:val="11"/>
          <w:color w:val="auto"/>
        </w:rPr>
      </w:pPr>
    </w:p>
    <w:p>
      <w:pPr>
        <w:ind w:left="1680" w:right="180" w:hanging="549"/>
        <w:spacing w:after="0" w:line="274" w:lineRule="auto"/>
        <w:tabs>
          <w:tab w:leader="none" w:pos="16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June 29, 2020, and hereby incorporated by reference to such Report.</w:t>
      </w:r>
    </w:p>
    <w:p>
      <w:pPr>
        <w:spacing w:after="0" w:line="90" w:lineRule="exact"/>
        <w:rPr>
          <w:rFonts w:ascii="Arial" w:cs="Arial" w:eastAsia="Arial" w:hAnsi="Arial"/>
          <w:sz w:val="11"/>
          <w:szCs w:val="11"/>
          <w:color w:val="auto"/>
        </w:rPr>
      </w:pPr>
    </w:p>
    <w:p>
      <w:pPr>
        <w:ind w:left="1680" w:right="120" w:hanging="549"/>
        <w:spacing w:after="0" w:line="274" w:lineRule="auto"/>
        <w:tabs>
          <w:tab w:leader="none" w:pos="16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August 5, 2020, and hereby incorporated by reference to such Report.</w:t>
      </w:r>
    </w:p>
    <w:p>
      <w:pPr>
        <w:spacing w:after="0" w:line="90"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Previously filed as Exhibit 10.1 to GasLog Partners LP's Report on Form 6-K (File No. 001-36433), filed with the SEC on August 5, 2020, and hereby incorporated by reference to such Report.</w:t>
      </w:r>
    </w:p>
    <w:p>
      <w:pPr>
        <w:spacing w:after="0" w:line="90" w:lineRule="exact"/>
        <w:rPr>
          <w:rFonts w:ascii="Arial" w:cs="Arial" w:eastAsia="Arial" w:hAnsi="Arial"/>
          <w:sz w:val="11"/>
          <w:szCs w:val="11"/>
          <w:color w:val="auto"/>
        </w:rPr>
      </w:pPr>
    </w:p>
    <w:p>
      <w:pPr>
        <w:ind w:left="1680" w:right="160" w:hanging="549"/>
        <w:spacing w:after="0" w:line="274" w:lineRule="auto"/>
        <w:tabs>
          <w:tab w:leader="none" w:pos="1680" w:val="left"/>
        </w:tabs>
        <w:numPr>
          <w:ilvl w:val="0"/>
          <w:numId w:val="103"/>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March 3, 2021, and hereby incorporated by reference to such Report.</w:t>
      </w:r>
    </w:p>
    <w:p>
      <w:pPr>
        <w:spacing w:after="0" w:line="91" w:lineRule="exact"/>
        <w:rPr>
          <w:sz w:val="20"/>
          <w:szCs w:val="20"/>
          <w:color w:val="auto"/>
        </w:rPr>
      </w:pPr>
    </w:p>
    <w:p>
      <w:pPr>
        <w:ind w:left="1680" w:hanging="549"/>
        <w:spacing w:after="0"/>
        <w:tabs>
          <w:tab w:leader="none" w:pos="16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Confidential material has been redacted and complete exhibits have been separately filed with the SEC.</w:t>
      </w:r>
    </w:p>
    <w:p>
      <w:pPr>
        <w:spacing w:after="0" w:line="134" w:lineRule="exact"/>
        <w:rPr>
          <w:sz w:val="20"/>
          <w:szCs w:val="20"/>
          <w:color w:val="auto"/>
        </w:rPr>
      </w:pPr>
    </w:p>
    <w:p>
      <w:pPr>
        <w:ind w:left="1680" w:right="360" w:hanging="549"/>
        <w:spacing w:after="0" w:line="274" w:lineRule="auto"/>
        <w:tabs>
          <w:tab w:leader="none" w:pos="16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Certain schedules have been omitted. The registrant hereby undertakes to furnish supplemental copies of any of the omitted schedules upon request by the SEC, provided, however, that GasLog may request confidential treatment pursuant to Rule 24b-2 of the Exchange Act for any schedule so furnished.</w:t>
      </w:r>
    </w:p>
    <w:p>
      <w:pPr>
        <w:spacing w:after="0" w:line="171" w:lineRule="exact"/>
        <w:rPr>
          <w:rFonts w:ascii="Arial" w:cs="Arial" w:eastAsia="Arial" w:hAnsi="Arial"/>
          <w:sz w:val="13"/>
          <w:szCs w:val="13"/>
          <w:color w:val="auto"/>
        </w:rPr>
      </w:pPr>
    </w:p>
    <w:p>
      <w:pPr>
        <w:ind w:left="1680" w:right="40"/>
        <w:spacing w:after="0" w:line="274" w:lineRule="auto"/>
        <w:rPr>
          <w:rFonts w:ascii="Arial" w:cs="Arial" w:eastAsia="Arial" w:hAnsi="Arial"/>
          <w:sz w:val="13"/>
          <w:szCs w:val="13"/>
          <w:color w:val="auto"/>
        </w:rPr>
      </w:pPr>
      <w:r>
        <w:rPr>
          <w:rFonts w:ascii="Arial" w:cs="Arial" w:eastAsia="Arial" w:hAnsi="Arial"/>
          <w:sz w:val="13"/>
          <w:szCs w:val="13"/>
          <w:color w:val="auto"/>
        </w:rPr>
        <w:t>The registrant hereby agrees to furnish to the SEC upon request a copy of any instrument relating to long-term debt that does not exceed 10% of the total assets of the Company and its subsidiaries.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260" w:type="dxa"/>
        <w:tblCellMar>
          <w:top w:w="0" w:type="dxa"/>
          <w:left w:w="0" w:type="dxa"/>
          <w:bottom w:w="0" w:type="dxa"/>
          <w:right w:w="0" w:type="dxa"/>
        </w:tblCellMar>
      </w:tblP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GASLOG LTD.,</w:t>
            </w:r>
          </w:p>
        </w:tc>
      </w:tr>
      <w:tr>
        <w:trPr>
          <w:trHeight w:val="459"/>
        </w:trPr>
        <w:tc>
          <w:tcPr>
            <w:tcW w:w="4920" w:type="dxa"/>
            <w:vAlign w:val="bottom"/>
            <w:gridSpan w:val="3"/>
          </w:tcPr>
          <w:p>
            <w:pPr>
              <w:spacing w:after="0"/>
              <w:rPr>
                <w:sz w:val="20"/>
                <w:szCs w:val="20"/>
                <w:color w:val="auto"/>
              </w:rPr>
            </w:pPr>
            <w:r>
              <w:rPr>
                <w:rFonts w:ascii="Arial" w:cs="Arial" w:eastAsia="Arial" w:hAnsi="Arial"/>
                <w:sz w:val="18"/>
                <w:szCs w:val="18"/>
                <w:color w:val="auto"/>
              </w:rPr>
              <w:t>By   /s/ PAUL A. WOGAN</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00"/>
              <w:spacing w:after="0"/>
              <w:rPr>
                <w:sz w:val="20"/>
                <w:szCs w:val="20"/>
                <w:color w:val="auto"/>
              </w:rPr>
            </w:pPr>
            <w:r>
              <w:rPr>
                <w:rFonts w:ascii="Arial" w:cs="Arial" w:eastAsia="Arial" w:hAnsi="Arial"/>
                <w:sz w:val="18"/>
                <w:szCs w:val="18"/>
                <w:color w:val="auto"/>
              </w:rPr>
              <w:t>Paul A. Wogan</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2021</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vMerge w:val="restart"/>
          </w:tcPr>
          <w:p>
            <w:pPr>
              <w:ind w:left="114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Report of Independent Registered Public Accounting Firm—Deloitte LLP</w:t>
              </w:r>
            </w:hyperlink>
          </w:p>
        </w:tc>
        <w:tc>
          <w:tcPr>
            <w:tcW w:w="1760" w:type="dxa"/>
            <w:vAlign w:val="bottom"/>
            <w:gridSpan w:val="2"/>
          </w:tcPr>
          <w:p>
            <w:pPr>
              <w:jc w:val="right"/>
              <w:ind w:right="13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9480" w:type="dxa"/>
            <w:vAlign w:val="bottom"/>
            <w:vMerge w:val="continue"/>
          </w:tcPr>
          <w:p>
            <w:pPr>
              <w:spacing w:after="0"/>
              <w:rPr>
                <w:sz w:val="17"/>
                <w:szCs w:val="17"/>
                <w:color w:val="auto"/>
              </w:rPr>
            </w:pPr>
          </w:p>
        </w:tc>
        <w:tc>
          <w:tcPr>
            <w:tcW w:w="46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F-2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14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Consolidated statements of financial position as of December 31, 2019 and 2020</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F-5</w:t>
              </w:r>
            </w:hyperlink>
          </w:p>
        </w:tc>
        <w:tc>
          <w:tcPr>
            <w:tcW w:w="0" w:type="dxa"/>
            <w:vAlign w:val="bottom"/>
          </w:tcPr>
          <w:p>
            <w:pPr>
              <w:spacing w:after="0"/>
              <w:rPr>
                <w:sz w:val="1"/>
                <w:szCs w:val="1"/>
                <w:color w:val="auto"/>
              </w:rPr>
            </w:pPr>
          </w:p>
        </w:tc>
      </w:tr>
      <w:tr>
        <w:trPr>
          <w:trHeight w:val="216"/>
        </w:trPr>
        <w:tc>
          <w:tcPr>
            <w:tcW w:w="9480" w:type="dxa"/>
            <w:vAlign w:val="bottom"/>
          </w:tcPr>
          <w:p>
            <w:pPr>
              <w:ind w:left="114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Consolidated statements of profit or loss for the years ended December 31, 2018, 2019 and 2020</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F-6</w:t>
              </w:r>
            </w:hyperlink>
          </w:p>
        </w:tc>
        <w:tc>
          <w:tcPr>
            <w:tcW w:w="0" w:type="dxa"/>
            <w:vAlign w:val="bottom"/>
          </w:tcPr>
          <w:p>
            <w:pPr>
              <w:spacing w:after="0"/>
              <w:rPr>
                <w:sz w:val="1"/>
                <w:szCs w:val="1"/>
                <w:color w:val="auto"/>
              </w:rPr>
            </w:pPr>
          </w:p>
        </w:tc>
      </w:tr>
      <w:tr>
        <w:trPr>
          <w:trHeight w:val="216"/>
        </w:trPr>
        <w:tc>
          <w:tcPr>
            <w:tcW w:w="9480" w:type="dxa"/>
            <w:vAlign w:val="bottom"/>
          </w:tcPr>
          <w:p>
            <w:pPr>
              <w:ind w:left="1140"/>
              <w:spacing w:after="0"/>
              <w:rPr>
                <w:rFonts w:ascii="Arial" w:cs="Arial" w:eastAsia="Arial" w:hAnsi="Arial"/>
                <w:sz w:val="18"/>
                <w:szCs w:val="18"/>
                <w:u w:val="single" w:color="auto"/>
                <w:color w:val="0000EE"/>
                <w:w w:val="90"/>
              </w:rPr>
            </w:pPr>
            <w:hyperlink w:anchor="page175">
              <w:r>
                <w:rPr>
                  <w:rFonts w:ascii="Arial" w:cs="Arial" w:eastAsia="Arial" w:hAnsi="Arial"/>
                  <w:sz w:val="18"/>
                  <w:szCs w:val="18"/>
                  <w:u w:val="single" w:color="auto"/>
                  <w:color w:val="0000EE"/>
                  <w:w w:val="90"/>
                </w:rPr>
                <w:t>Consolidated statements of comprehensive income or loss for the years ended December 31, 2018, 2019 and 2020</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F-7</w:t>
              </w:r>
            </w:hyperlink>
          </w:p>
        </w:tc>
        <w:tc>
          <w:tcPr>
            <w:tcW w:w="0" w:type="dxa"/>
            <w:vAlign w:val="bottom"/>
          </w:tcPr>
          <w:p>
            <w:pPr>
              <w:spacing w:after="0"/>
              <w:rPr>
                <w:sz w:val="1"/>
                <w:szCs w:val="1"/>
                <w:color w:val="auto"/>
              </w:rPr>
            </w:pPr>
          </w:p>
        </w:tc>
      </w:tr>
      <w:tr>
        <w:trPr>
          <w:trHeight w:val="216"/>
        </w:trPr>
        <w:tc>
          <w:tcPr>
            <w:tcW w:w="9480" w:type="dxa"/>
            <w:vAlign w:val="bottom"/>
          </w:tcPr>
          <w:p>
            <w:pPr>
              <w:ind w:left="1140"/>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statements of changes in equity for the years ended December 31, 2018, 2019 and 2020</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F-8</w:t>
              </w:r>
            </w:hyperlink>
          </w:p>
        </w:tc>
        <w:tc>
          <w:tcPr>
            <w:tcW w:w="0" w:type="dxa"/>
            <w:vAlign w:val="bottom"/>
          </w:tcPr>
          <w:p>
            <w:pPr>
              <w:spacing w:after="0"/>
              <w:rPr>
                <w:sz w:val="1"/>
                <w:szCs w:val="1"/>
                <w:color w:val="auto"/>
              </w:rPr>
            </w:pPr>
          </w:p>
        </w:tc>
      </w:tr>
      <w:tr>
        <w:trPr>
          <w:trHeight w:val="216"/>
        </w:trPr>
        <w:tc>
          <w:tcPr>
            <w:tcW w:w="9480" w:type="dxa"/>
            <w:vAlign w:val="bottom"/>
          </w:tcPr>
          <w:p>
            <w:pPr>
              <w:ind w:left="114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Consolidated statements of cash flows for the years ended December 31, 2018, 2019 and 2020</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F-9</w:t>
              </w:r>
            </w:hyperlink>
          </w:p>
        </w:tc>
        <w:tc>
          <w:tcPr>
            <w:tcW w:w="0" w:type="dxa"/>
            <w:vAlign w:val="bottom"/>
          </w:tcPr>
          <w:p>
            <w:pPr>
              <w:spacing w:after="0"/>
              <w:rPr>
                <w:sz w:val="1"/>
                <w:szCs w:val="1"/>
                <w:color w:val="auto"/>
              </w:rPr>
            </w:pPr>
          </w:p>
        </w:tc>
      </w:tr>
      <w:tr>
        <w:trPr>
          <w:trHeight w:val="222"/>
        </w:trPr>
        <w:tc>
          <w:tcPr>
            <w:tcW w:w="9480" w:type="dxa"/>
            <w:vAlign w:val="bottom"/>
          </w:tcPr>
          <w:p>
            <w:pPr>
              <w:ind w:left="11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Notes to the consolidated financial statements</w:t>
              </w:r>
            </w:hyperlink>
          </w:p>
        </w:tc>
        <w:tc>
          <w:tcPr>
            <w:tcW w:w="1760" w:type="dxa"/>
            <w:vAlign w:val="bottom"/>
            <w:gridSpan w:val="2"/>
          </w:tcPr>
          <w:p>
            <w:pPr>
              <w:jc w:val="right"/>
              <w:ind w:right="128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F-10</w:t>
              </w:r>
            </w:hyperlink>
          </w:p>
        </w:tc>
        <w:tc>
          <w:tcPr>
            <w:tcW w:w="0" w:type="dxa"/>
            <w:vAlign w:val="bottom"/>
          </w:tcPr>
          <w:p>
            <w:pPr>
              <w:spacing w:after="0"/>
              <w:rPr>
                <w:sz w:val="1"/>
                <w:szCs w:val="1"/>
                <w:color w:val="auto"/>
              </w:rPr>
            </w:pPr>
          </w:p>
        </w:tc>
      </w:tr>
      <w:tr>
        <w:trPr>
          <w:trHeight w:val="432"/>
        </w:trPr>
        <w:tc>
          <w:tcPr>
            <w:tcW w:w="9480" w:type="dxa"/>
            <w:vAlign w:val="bottom"/>
          </w:tcPr>
          <w:p>
            <w:pPr>
              <w:ind w:left="550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audited the accompanying consolidated statements of financial position of GasLog Ltd. and subsidiaries (the "Company") as of December 31, 2019 and 2020, the related consolidated statements of profit or loss, comprehensive income or loss, changes in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three years in the period ended December 31, 2020, in conformity with International Financial Reporting Standards as issued by the International Accounting Standards Board.</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5, 2021,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fixed assets—Impairment of vessels—Refer to Notes 2 and 6 to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vessels as of December 31, 2020, was $5,001.2 million, net of an impairment loss of $28.6 million recognized in 2020.</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The Company assesses value in use using discounted future cash flows, which requires management to make estimates and assumptions, the most significant of which are charter rates for non-contracted revenue days and the discount rate. Management identifies these as key assumptions to which the outcome of the impairment assessment is most sensitive.</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each reporting date, the Company reassesses its impairment assumptions and revises them as appropriate, including in the current year for the impact of COVID-19. In its impairment assessments during 2020, the Company revised certain assumptions for charter rates for the period up to June 30, 2025 and its assumptions for discount rates, whilst its longer term charter rate assumptions were unchanged. For Steam vessels, management's assumptions for charter rates for non-contracted revenue days decreased from an average of $41 thousand per day to $40 thousand per day compared to 2019, and management's average discount rate assumption decreased to 6.4%, resulting in further impairment losses of $28.6 million recognized on five of the Company's six Steam vessels during 2020. The estimated recoverable amount of all other vessels for which impairment indicators were identified exceeded their carrying value as of December 31, 2020 and, therefore, no impairment was recognized for the remaining vessels.</w:t>
      </w:r>
    </w:p>
    <w:p>
      <w:pPr>
        <w:spacing w:after="0" w:line="1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identified impairment of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Our audit procedures related to the charter rate assumptions for non-contracted revenue days and the discount rate used by management to estimate the recoverable amount of vessels included the following:</w:t>
      </w:r>
    </w:p>
    <w:p>
      <w:pPr>
        <w:spacing w:after="0" w:line="199" w:lineRule="exact"/>
        <w:rPr>
          <w:sz w:val="20"/>
          <w:szCs w:val="20"/>
          <w:color w:val="auto"/>
        </w:rPr>
      </w:pPr>
    </w:p>
    <w:p>
      <w:pPr>
        <w:ind w:left="540" w:right="160" w:hanging="532"/>
        <w:spacing w:after="0" w:line="268"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tested the controls over management's estimation of the recoverable amount of vessels for which impairment indicators were identified, including controls over the assumptions for the charter rate for non-contracted revenue days and the discount rate.</w:t>
      </w:r>
    </w:p>
    <w:p>
      <w:pPr>
        <w:spacing w:after="0" w:line="212" w:lineRule="exact"/>
        <w:rPr>
          <w:rFonts w:ascii="Arial" w:cs="Arial" w:eastAsia="Arial" w:hAnsi="Arial"/>
          <w:sz w:val="18"/>
          <w:szCs w:val="18"/>
          <w:color w:val="auto"/>
        </w:rPr>
      </w:pPr>
    </w:p>
    <w:p>
      <w:pPr>
        <w:ind w:left="540" w:right="360" w:hanging="532"/>
        <w:spacing w:after="0" w:line="306"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73" w:lineRule="exact"/>
        <w:rPr>
          <w:rFonts w:ascii="Arial" w:cs="Arial" w:eastAsia="Arial" w:hAnsi="Arial"/>
          <w:sz w:val="16"/>
          <w:szCs w:val="16"/>
          <w:color w:val="auto"/>
        </w:rPr>
      </w:pPr>
    </w:p>
    <w:p>
      <w:pPr>
        <w:ind w:left="540" w:right="300" w:hanging="532"/>
        <w:spacing w:after="0" w:line="331"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evaluated the reasonableness of charter rates for non-contracted revenue days up to June 30, 2025 by comparing management's assumptions for each vessel type to market data, and considered actual time charters agreed with charterers for similar vessels.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331"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evaluated the reasonableness of management's charter rate assumptions from July 1, 2025 through the end of each vessel's useful life for which very limited observable market data is available, by evaluating management's rationale and evidence for these assumptions, as follows:</w:t>
      </w:r>
    </w:p>
    <w:p>
      <w:pPr>
        <w:spacing w:after="0" w:line="356" w:lineRule="exact"/>
        <w:rPr>
          <w:rFonts w:ascii="Arial" w:cs="Arial" w:eastAsia="Arial" w:hAnsi="Arial"/>
          <w:sz w:val="16"/>
          <w:szCs w:val="16"/>
          <w:color w:val="auto"/>
        </w:rPr>
      </w:pPr>
    </w:p>
    <w:p>
      <w:pPr>
        <w:ind w:left="1080" w:right="100" w:hanging="540"/>
        <w:spacing w:after="0" w:line="256" w:lineRule="auto"/>
        <w:rPr>
          <w:rFonts w:ascii="Arial" w:cs="Arial" w:eastAsia="Arial" w:hAnsi="Arial"/>
          <w:sz w:val="16"/>
          <w:szCs w:val="16"/>
          <w:color w:val="auto"/>
        </w:rPr>
      </w:pPr>
      <w:r>
        <w:rPr>
          <w:rFonts w:ascii="Arial" w:cs="Arial" w:eastAsia="Arial" w:hAnsi="Arial"/>
          <w:sz w:val="18"/>
          <w:szCs w:val="18"/>
          <w:color w:val="auto"/>
        </w:rPr>
        <w:t>–We re-assessed the rationale and evidence for the estimated long run costs of building and financing newbuild LNG vessels and the differential between the longer term charter rates for each vessel type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223" w:lineRule="exact"/>
        <w:rPr>
          <w:rFonts w:ascii="Arial" w:cs="Arial" w:eastAsia="Arial" w:hAnsi="Arial"/>
          <w:sz w:val="16"/>
          <w:szCs w:val="16"/>
          <w:color w:val="auto"/>
        </w:rPr>
      </w:pPr>
    </w:p>
    <w:p>
      <w:pPr>
        <w:ind w:left="1080" w:right="220" w:hanging="540"/>
        <w:spacing w:after="0" w:line="306"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We compared them with management's assumptions for the period up to June 30, 2025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73" w:lineRule="exact"/>
        <w:rPr>
          <w:rFonts w:ascii="Arial" w:cs="Arial" w:eastAsia="Arial" w:hAnsi="Arial"/>
          <w:sz w:val="16"/>
          <w:szCs w:val="16"/>
          <w:color w:val="auto"/>
        </w:rPr>
      </w:pPr>
    </w:p>
    <w:p>
      <w:pPr>
        <w:ind w:left="1080" w:right="220" w:hanging="540"/>
        <w:spacing w:after="0" w:line="268" w:lineRule="auto"/>
        <w:rPr>
          <w:rFonts w:ascii="Arial" w:cs="Arial" w:eastAsia="Arial" w:hAnsi="Arial"/>
          <w:sz w:val="16"/>
          <w:szCs w:val="16"/>
          <w:color w:val="auto"/>
        </w:rPr>
      </w:pPr>
      <w:r>
        <w:rPr>
          <w:rFonts w:ascii="Arial" w:cs="Arial" w:eastAsia="Arial" w:hAnsi="Arial"/>
          <w:sz w:val="18"/>
          <w:szCs w:val="18"/>
          <w:color w:val="auto"/>
        </w:rPr>
        <w:t>–We considered new evidence arising between Q4 2019 and Q4 2020 in our evaluation of management's assumption that the long term charter rates for each vessel type has not changed since the prior year impairment assessment.</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40" w:right="60" w:hanging="532"/>
        <w:spacing w:after="0" w:line="25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addition to our evaluation of management's charter rate assumptions from July 1, 2025 through the end of each vessel's useful life (which were held constant as described above) we compared management's current assumptions for the charter rate for non-contracted revenue days prior to July 1, 2025 against management's previous assumptions, and evaluated the rationale and evidence for changes in those assumptions based on observable trends in the LNG shipping market.</w:t>
      </w:r>
    </w:p>
    <w:p>
      <w:pPr>
        <w:spacing w:after="0" w:line="210"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also considered other relevant evidence, including shipbrokers' estimates of market values of Steam vessels that were lower than management's estimates of values in use as of December 31, 2020.</w:t>
      </w:r>
    </w:p>
    <w:p>
      <w:pPr>
        <w:spacing w:after="0" w:line="199"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value in use calculations, and agreed the inputs to the source information and underlying assumptions used by management.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assessed the sensitivity disclosures in Note 6 based on our own sensitivity analysis, and checked management's calculations of those sensitivities.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December 31,</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96"/>
              </w:rPr>
              <w:t>Note</w:t>
            </w:r>
          </w:p>
        </w:tc>
        <w:tc>
          <w:tcPr>
            <w:tcW w:w="10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9,511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9,511</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Investment in associates</w:t>
            </w:r>
          </w:p>
        </w:tc>
        <w:tc>
          <w:tcPr>
            <w:tcW w:w="320" w:type="dxa"/>
            <w:vAlign w:val="bottom"/>
          </w:tcPr>
          <w:p>
            <w:pPr>
              <w:jc w:val="center"/>
              <w:spacing w:after="0"/>
              <w:rPr>
                <w:sz w:val="20"/>
                <w:szCs w:val="20"/>
                <w:color w:val="auto"/>
              </w:rPr>
            </w:pPr>
            <w:r>
              <w:rPr>
                <w:rFonts w:ascii="Arial" w:cs="Arial" w:eastAsia="Arial" w:hAnsi="Arial"/>
                <w:sz w:val="13"/>
                <w:szCs w:val="13"/>
                <w:color w:val="auto"/>
              </w:rPr>
              <w:t>5</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21,620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21,759</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financing costs</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11,592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5,150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Other non-current assets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10</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24,221</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12,463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3,572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5,561</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Tangible fixed assets</w:t>
            </w:r>
          </w:p>
        </w:tc>
        <w:tc>
          <w:tcPr>
            <w:tcW w:w="320" w:type="dxa"/>
            <w:vAlign w:val="bottom"/>
          </w:tcPr>
          <w:p>
            <w:pPr>
              <w:jc w:val="center"/>
              <w:spacing w:after="0"/>
              <w:rPr>
                <w:sz w:val="20"/>
                <w:szCs w:val="20"/>
                <w:color w:val="auto"/>
              </w:rPr>
            </w:pPr>
            <w:r>
              <w:rPr>
                <w:rFonts w:ascii="Arial" w:cs="Arial" w:eastAsia="Arial" w:hAnsi="Arial"/>
                <w:sz w:val="13"/>
                <w:szCs w:val="13"/>
                <w:color w:val="auto"/>
              </w:rPr>
              <w:t>6</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4,427,065</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5,028,509</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Vessels under construction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203,323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132,839</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320" w:type="dxa"/>
            <w:vAlign w:val="bottom"/>
          </w:tcPr>
          <w:p>
            <w:pPr>
              <w:jc w:val="center"/>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206,495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203,437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non-current assets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4,907,399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5,419,229</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receivables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24,900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36,223</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Dividends receivable and other amounts due from related parties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573</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429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8,172</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7,564</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 and other current assets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13,475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24,685</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Short-term investments</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4,500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263,747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367,269</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315,796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437,534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assets</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b w:val="1"/>
                <w:bCs w:val="1"/>
                <w:color w:val="auto"/>
              </w:rPr>
              <w:t>5,223,195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5,856,763</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Equity and liabilities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Preference shares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810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Contributed surplus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760,671</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759,822</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16,799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18,667</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220" w:type="dxa"/>
            <w:vAlign w:val="bottom"/>
            <w:gridSpan w:val="4"/>
          </w:tcPr>
          <w:p>
            <w:pPr>
              <w:jc w:val="right"/>
              <w:ind w:right="120"/>
              <w:spacing w:after="0"/>
              <w:rPr>
                <w:sz w:val="20"/>
                <w:szCs w:val="20"/>
                <w:color w:val="auto"/>
              </w:rPr>
            </w:pPr>
            <w:r>
              <w:rPr>
                <w:rFonts w:ascii="Arial" w:cs="Arial" w:eastAsia="Arial" w:hAnsi="Arial"/>
                <w:sz w:val="13"/>
                <w:szCs w:val="13"/>
                <w:color w:val="auto"/>
              </w:rPr>
              <w:t>(2,159)</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(1,340)</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32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(87,832)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(132,780)</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Equity attributable to owners of the Group</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688,335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645,369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961,518</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951,768</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equity</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1,649,853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1,597,137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Trade accounts payable</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27,615</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25,046</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Ship management creditors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601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Amounts due to related parties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200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8,095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35,415</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Other payables and accruals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14</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136,242</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143,057</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current portion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255,422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245,626</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Lease liability, current portion</w:t>
            </w:r>
          </w:p>
        </w:tc>
        <w:tc>
          <w:tcPr>
            <w:tcW w:w="320" w:type="dxa"/>
            <w:vAlign w:val="bottom"/>
          </w:tcPr>
          <w:p>
            <w:pPr>
              <w:jc w:val="center"/>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9,363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9,644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437,538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459,349</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41,837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78,440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Borrowings, non-current portion</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13</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2,891,973</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3,527,595</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 non-current portion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195,567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186,526</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7,716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non-current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3,135,804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3,800,277</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equity and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5,223,195</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5,856,763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share data)</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Notes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618,344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668,637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674,089</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Net pool allocation</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17,818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expenses and commissions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Vessel operating and supervision costs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(128,084)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(153,193)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(177,213)</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Impairment loss on vessels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non-current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(41,993)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(47,385)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(47,249)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292,518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123,364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250,310</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Financial costs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(166,627)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(190,481)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4,784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Loss on derivatives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(6,077)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profit of associates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(166,120)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(238,977)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(247,021)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126,398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Group</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78,715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126,398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Earnings/(loss) per share—basic</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89"/>
              </w:rPr>
              <w:t>29</w:t>
            </w:r>
          </w:p>
        </w:tc>
        <w:tc>
          <w:tcPr>
            <w:tcW w:w="18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0.47</w:t>
            </w:r>
          </w:p>
        </w:tc>
        <w:tc>
          <w:tcPr>
            <w:tcW w:w="16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(1.37)</w:t>
            </w:r>
          </w:p>
        </w:tc>
        <w:tc>
          <w:tcPr>
            <w:tcW w:w="160" w:type="dxa"/>
            <w:vAlign w:val="bottom"/>
            <w:vMerge w:val="continue"/>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share—diluted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126,398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may not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Actuarial (loss)/gain</w:t>
            </w:r>
          </w:p>
        </w:tc>
        <w:tc>
          <w:tcPr>
            <w:tcW w:w="3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40" w:type="dxa"/>
            <w:vAlign w:val="bottom"/>
          </w:tcPr>
          <w:p>
            <w:pPr>
              <w:ind w:left="20"/>
              <w:spacing w:after="0"/>
              <w:rPr>
                <w:sz w:val="20"/>
                <w:szCs w:val="20"/>
                <w:color w:val="auto"/>
              </w:rPr>
            </w:pPr>
            <w:r>
              <w:rPr>
                <w:rFonts w:ascii="Arial" w:cs="Arial" w:eastAsia="Arial" w:hAnsi="Arial"/>
                <w:sz w:val="18"/>
                <w:szCs w:val="18"/>
                <w:color w:val="auto"/>
                <w:w w:val="94"/>
              </w:rPr>
              <w:t>Effective portion of changes in fair value of cash flow hedges, net of amounts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00"/>
              <w:spacing w:after="0"/>
              <w:rPr>
                <w:sz w:val="20"/>
                <w:szCs w:val="20"/>
                <w:color w:val="auto"/>
              </w:rPr>
            </w:pPr>
            <w:r>
              <w:rPr>
                <w:rFonts w:ascii="Arial" w:cs="Arial" w:eastAsia="Arial" w:hAnsi="Arial"/>
                <w:sz w:val="18"/>
                <w:szCs w:val="18"/>
                <w:color w:val="auto"/>
              </w:rPr>
              <w:t>recycled to profit or loss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(2,933)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for the year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income/(loss) for the year</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126,089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(117,849)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2,596</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Group</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(102,897)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(45,641)</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78,715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126,089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(117,849)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2,596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Non-</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Share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Preference</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Contributed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Treasury</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deficit)/</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Attributable</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controlling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capital</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surplus</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3"/>
              </w:rPr>
              <w:t>Reserves</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shares</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Retained</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to owners</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interests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(Note 11)</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(Note 11)</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(Note 11)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(Note 12)</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(Note 11)</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earnings</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of the Group</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(Note 4)</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9"/>
              </w:rPr>
              <w:t>Balance as of December 31,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2017</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911,766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18,347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(6,960)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(5,980)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918,029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845,105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1,763,134</w:t>
            </w:r>
          </w:p>
        </w:tc>
        <w:tc>
          <w:tcPr>
            <w:tcW w:w="0" w:type="dxa"/>
            <w:vAlign w:val="bottom"/>
          </w:tcPr>
          <w:p>
            <w:pPr>
              <w:spacing w:after="0"/>
              <w:rPr>
                <w:sz w:val="1"/>
                <w:szCs w:val="1"/>
                <w:color w:val="auto"/>
              </w:rPr>
            </w:pPr>
          </w:p>
        </w:tc>
      </w:tr>
      <w:tr>
        <w:trPr>
          <w:trHeight w:val="176"/>
        </w:trPr>
        <w:tc>
          <w:tcPr>
            <w:tcW w:w="1760" w:type="dxa"/>
            <w:vAlign w:val="bottom"/>
            <w:gridSpan w:val="2"/>
          </w:tcPr>
          <w:p>
            <w:pPr>
              <w:ind w:left="20"/>
              <w:spacing w:after="0" w:line="176" w:lineRule="exact"/>
              <w:rPr>
                <w:sz w:val="20"/>
                <w:szCs w:val="20"/>
                <w:color w:val="auto"/>
              </w:rPr>
            </w:pPr>
            <w:r>
              <w:rPr>
                <w:rFonts w:ascii="Arial" w:cs="Arial" w:eastAsia="Arial" w:hAnsi="Arial"/>
                <w:sz w:val="12"/>
                <w:szCs w:val="12"/>
                <w:color w:val="auto"/>
              </w:rPr>
              <w:t>Opening adjustment</w:t>
            </w:r>
            <w:r>
              <w:rPr>
                <w:rFonts w:ascii="Arial" w:cs="Arial" w:eastAsia="Arial" w:hAnsi="Arial"/>
                <w:sz w:val="20"/>
                <w:szCs w:val="20"/>
                <w:color w:val="auto"/>
                <w:vertAlign w:val="superscript"/>
              </w:rPr>
              <w:t>(1)</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(436)</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190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2018</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911,766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17,911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(6,960)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(5,790)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917,783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845,105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1,762,888</w:t>
            </w:r>
          </w:p>
        </w:tc>
        <w:tc>
          <w:tcPr>
            <w:tcW w:w="0" w:type="dxa"/>
            <w:vAlign w:val="bottom"/>
          </w:tcPr>
          <w:p>
            <w:pPr>
              <w:spacing w:after="0"/>
              <w:rPr>
                <w:sz w:val="1"/>
                <w:szCs w:val="1"/>
                <w:color w:val="auto"/>
              </w:rPr>
            </w:pPr>
          </w:p>
        </w:tc>
      </w:tr>
      <w:tr>
        <w:trPr>
          <w:trHeight w:val="131"/>
        </w:trPr>
        <w:tc>
          <w:tcPr>
            <w:tcW w:w="176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Net proceeds from GasLog</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267,514</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267,514</w:t>
            </w: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equity related costs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Dividend paid (common and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preference shares) (Note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20" w:type="dxa"/>
            <w:vAlign w:val="bottom"/>
          </w:tcPr>
          <w:p>
            <w:pPr>
              <w:ind w:left="120"/>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(60,795)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(29,279)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(90,074)</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(87,954)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(178,028)</w:t>
            </w: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3,756</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682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shares, net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8"/>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Profit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47,683</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47,683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78,715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126,398</w:t>
            </w: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Other comprehensive loss for</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29"/>
        </w:trPr>
        <w:tc>
          <w:tcPr>
            <w:tcW w:w="17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Total comprehensive</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gridSpan w:val="2"/>
          </w:tcPr>
          <w:p>
            <w:pPr>
              <w:ind w:left="120"/>
              <w:spacing w:after="0"/>
              <w:rPr>
                <w:sz w:val="20"/>
                <w:szCs w:val="20"/>
                <w:color w:val="auto"/>
              </w:rPr>
            </w:pPr>
            <w:r>
              <w:rPr>
                <w:rFonts w:ascii="Arial" w:cs="Arial" w:eastAsia="Arial" w:hAnsi="Arial"/>
                <w:sz w:val="13"/>
                <w:szCs w:val="13"/>
                <w:b w:val="1"/>
                <w:bCs w:val="1"/>
                <w:color w:val="auto"/>
              </w:rPr>
              <w:t>(loss)/income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(309)</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47,683</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47,374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78,715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126,089</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9"/>
              </w:rPr>
              <w:t>Balance as of December 31,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2018</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850,576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18,962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(3,266)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12,614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879,742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1,103,380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1,983,122</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ind w:left="20"/>
              <w:spacing w:after="0" w:line="189" w:lineRule="exact"/>
              <w:rPr>
                <w:sz w:val="20"/>
                <w:szCs w:val="20"/>
                <w:color w:val="auto"/>
              </w:rPr>
            </w:pPr>
            <w:r>
              <w:rPr>
                <w:rFonts w:ascii="Arial" w:cs="Arial" w:eastAsia="Arial" w:hAnsi="Arial"/>
                <w:sz w:val="13"/>
                <w:szCs w:val="13"/>
                <w:color w:val="auto"/>
              </w:rPr>
              <w:t>Opening adjustment</w:t>
            </w:r>
            <w:r>
              <w:rPr>
                <w:rFonts w:ascii="Arial" w:cs="Arial" w:eastAsia="Arial" w:hAnsi="Arial"/>
                <w:sz w:val="21"/>
                <w:szCs w:val="21"/>
                <w:color w:val="auto"/>
                <w:vertAlign w:val="superscript"/>
              </w:rPr>
              <w:t>(2)</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60" w:type="dxa"/>
            <w:vAlign w:val="bottom"/>
            <w:gridSpan w:val="2"/>
            <w:vMerge w:val="continue"/>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215</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215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2019</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850,576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18,962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(3,266)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12,829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879,957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1,103,508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1,983,465</w:t>
            </w:r>
          </w:p>
        </w:tc>
        <w:tc>
          <w:tcPr>
            <w:tcW w:w="0" w:type="dxa"/>
            <w:vAlign w:val="bottom"/>
          </w:tcPr>
          <w:p>
            <w:pPr>
              <w:spacing w:after="0"/>
              <w:rPr>
                <w:sz w:val="1"/>
                <w:szCs w:val="1"/>
                <w:color w:val="auto"/>
              </w:rPr>
            </w:pPr>
          </w:p>
        </w:tc>
      </w:tr>
      <w:tr>
        <w:trPr>
          <w:trHeight w:val="142"/>
        </w:trPr>
        <w:tc>
          <w:tcPr>
            <w:tcW w:w="176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Other equity related costs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ind w:left="500"/>
              <w:spacing w:after="0" w:line="142" w:lineRule="exact"/>
              <w:rPr>
                <w:sz w:val="20"/>
                <w:szCs w:val="20"/>
                <w:color w:val="auto"/>
              </w:rPr>
            </w:pPr>
            <w:r>
              <w:rPr>
                <w:rFonts w:ascii="Arial" w:cs="Arial" w:eastAsia="Arial" w:hAnsi="Arial"/>
                <w:sz w:val="13"/>
                <w:szCs w:val="13"/>
                <w:color w:val="auto"/>
                <w:w w:val="76"/>
              </w:rPr>
              <w:t>—</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(595)</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(595)</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Dividend paid (common and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preference shares) (Note</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(89,310)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(104,126)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(193,436)</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4,859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Treasury shares, net or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GasLog Partners' common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(3,752)</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(3,752)</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(22,890)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(26,642)</w:t>
            </w: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(100,661)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(115,613)</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Other comprehensive loss for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(2,236)</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(2,236)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(2,236)</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comprehensive loss</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(2,236)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(100,661)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(102,897)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(14,952)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(117,849)</w:t>
            </w:r>
          </w:p>
        </w:tc>
        <w:tc>
          <w:tcPr>
            <w:tcW w:w="0" w:type="dxa"/>
            <w:vAlign w:val="bottom"/>
          </w:tcPr>
          <w:p>
            <w:pPr>
              <w:spacing w:after="0"/>
              <w:rPr>
                <w:sz w:val="1"/>
                <w:szCs w:val="1"/>
                <w:color w:val="auto"/>
              </w:rPr>
            </w:pPr>
          </w:p>
        </w:tc>
      </w:tr>
      <w:tr>
        <w:trPr>
          <w:trHeight w:val="129"/>
        </w:trPr>
        <w:tc>
          <w:tcPr>
            <w:tcW w:w="17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9"/>
              </w:rPr>
              <w:t>Balance as of December 31,</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12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760,671</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16,799</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(2,159)</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(87,832)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688,335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961,518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1,649,853</w:t>
            </w:r>
          </w:p>
        </w:tc>
        <w:tc>
          <w:tcPr>
            <w:tcW w:w="0" w:type="dxa"/>
            <w:vAlign w:val="bottom"/>
          </w:tcPr>
          <w:p>
            <w:pPr>
              <w:spacing w:after="0"/>
              <w:rPr>
                <w:sz w:val="1"/>
                <w:szCs w:val="1"/>
                <w:color w:val="auto"/>
              </w:rPr>
            </w:pPr>
          </w:p>
        </w:tc>
      </w:tr>
      <w:tr>
        <w:trPr>
          <w:trHeight w:val="131"/>
        </w:trPr>
        <w:tc>
          <w:tcPr>
            <w:tcW w:w="17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color w:val="auto"/>
              </w:rPr>
              <w:t>Proceeds from private</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placement, net of offering</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costs (Note 11)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144</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34,849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34,993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34,993</w:t>
            </w:r>
          </w:p>
        </w:tc>
        <w:tc>
          <w:tcPr>
            <w:tcW w:w="0" w:type="dxa"/>
            <w:vAlign w:val="bottom"/>
          </w:tcPr>
          <w:p>
            <w:pPr>
              <w:spacing w:after="0"/>
              <w:rPr>
                <w:sz w:val="1"/>
                <w:szCs w:val="1"/>
                <w:color w:val="auto"/>
              </w:rPr>
            </w:pPr>
          </w:p>
        </w:tc>
      </w:tr>
      <w:tr>
        <w:trPr>
          <w:trHeight w:val="149"/>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Equity offering costs</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Dividend declared (common</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preference shares)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(Notes 4 and 12)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(35,698)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(35,698)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(56,859)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(92,557)</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5,385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5,385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5,385</w:t>
            </w:r>
          </w:p>
        </w:tc>
        <w:tc>
          <w:tcPr>
            <w:tcW w:w="0" w:type="dxa"/>
            <w:vAlign w:val="bottom"/>
          </w:tcPr>
          <w:p>
            <w:pPr>
              <w:spacing w:after="0"/>
              <w:rPr>
                <w:sz w:val="1"/>
                <w:szCs w:val="1"/>
                <w:color w:val="auto"/>
              </w:rPr>
            </w:pPr>
          </w:p>
        </w:tc>
      </w:tr>
      <w:tr>
        <w:trPr>
          <w:trHeight w:val="138"/>
        </w:trPr>
        <w:tc>
          <w:tcPr>
            <w:tcW w:w="17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Treasury shares, net or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GasLog Partners' common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(2,000)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(2,000)</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(996)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(2,996)</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(Loss)/profit 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(44,948)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(44,948)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48,237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3,289</w:t>
            </w:r>
          </w:p>
        </w:tc>
        <w:tc>
          <w:tcPr>
            <w:tcW w:w="0" w:type="dxa"/>
            <w:vAlign w:val="bottom"/>
          </w:tcPr>
          <w:p>
            <w:pPr>
              <w:spacing w:after="0"/>
              <w:rPr>
                <w:sz w:val="1"/>
                <w:szCs w:val="1"/>
                <w:color w:val="auto"/>
              </w:rPr>
            </w:pPr>
          </w:p>
        </w:tc>
      </w:tr>
      <w:tr>
        <w:trPr>
          <w:trHeight w:val="138"/>
        </w:trPr>
        <w:tc>
          <w:tcPr>
            <w:tcW w:w="17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Other comprehensive loss for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120"/>
              <w:spacing w:after="0"/>
              <w:rPr>
                <w:sz w:val="20"/>
                <w:szCs w:val="20"/>
                <w:color w:val="auto"/>
              </w:rPr>
            </w:pPr>
            <w:r>
              <w:rPr>
                <w:rFonts w:ascii="Arial" w:cs="Arial" w:eastAsia="Arial" w:hAnsi="Arial"/>
                <w:sz w:val="13"/>
                <w:szCs w:val="13"/>
                <w:color w:val="auto"/>
              </w:rPr>
              <w:t>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(693)</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(693)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29"/>
        </w:trPr>
        <w:tc>
          <w:tcPr>
            <w:tcW w:w="17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comprehensive</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(loss)/income 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(693)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(44,948)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(45,641)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48,237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2,596</w:t>
            </w:r>
          </w:p>
        </w:tc>
        <w:tc>
          <w:tcPr>
            <w:tcW w:w="0" w:type="dxa"/>
            <w:vAlign w:val="bottom"/>
          </w:tcPr>
          <w:p>
            <w:pPr>
              <w:spacing w:after="0"/>
              <w:rPr>
                <w:sz w:val="1"/>
                <w:szCs w:val="1"/>
                <w:color w:val="auto"/>
              </w:rPr>
            </w:pPr>
          </w:p>
        </w:tc>
      </w:tr>
      <w:tr>
        <w:trPr>
          <w:trHeight w:val="129"/>
        </w:trPr>
        <w:tc>
          <w:tcPr>
            <w:tcW w:w="17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9"/>
              </w:rPr>
              <w:t>Balance as of December 31,</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12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954</w:t>
            </w:r>
          </w:p>
        </w:tc>
        <w:tc>
          <w:tcPr>
            <w:tcW w:w="140" w:type="dxa"/>
            <w:vAlign w:val="bottom"/>
          </w:tcPr>
          <w:p>
            <w:pPr>
              <w:spacing w:after="0"/>
              <w:rPr>
                <w:sz w:val="14"/>
                <w:szCs w:val="14"/>
                <w:color w:val="auto"/>
              </w:rPr>
            </w:pPr>
          </w:p>
        </w:tc>
        <w:tc>
          <w:tcPr>
            <w:tcW w:w="780" w:type="dxa"/>
            <w:vAlign w:val="bottom"/>
            <w:gridSpan w:val="2"/>
          </w:tcPr>
          <w:p>
            <w:pPr>
              <w:ind w:left="50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759,822</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18,667</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(1,340)</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(132,780)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645,369</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951,768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1,597,137</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08"/>
        </w:numPr>
        <w:rPr>
          <w:rFonts w:ascii="Arial" w:cs="Arial" w:eastAsia="Arial" w:hAnsi="Arial"/>
          <w:sz w:val="11"/>
          <w:szCs w:val="11"/>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108"/>
        </w:numPr>
        <w:rPr>
          <w:rFonts w:ascii="Arial" w:cs="Arial" w:eastAsia="Arial" w:hAnsi="Arial"/>
          <w:sz w:val="11"/>
          <w:szCs w:val="11"/>
          <w:color w:val="auto"/>
        </w:rPr>
      </w:pPr>
      <w:r>
        <w:rPr>
          <w:rFonts w:ascii="Arial" w:cs="Arial" w:eastAsia="Arial" w:hAnsi="Arial"/>
          <w:sz w:val="13"/>
          <w:szCs w:val="13"/>
          <w:color w:val="auto"/>
        </w:rPr>
        <w:t xml:space="preserve">Restated so as to reflect an adjustment introduced due to the adoption of 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on January 1, 2019.</w:t>
      </w: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3"/>
                <w:szCs w:val="13"/>
                <w:b w:val="1"/>
                <w:bCs w:val="1"/>
                <w:color w:val="auto"/>
              </w:rPr>
              <w:t>Notes</w:t>
            </w:r>
          </w:p>
        </w:tc>
        <w:tc>
          <w:tcPr>
            <w:tcW w:w="540" w:type="dxa"/>
            <w:vAlign w:val="bottom"/>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540" w:type="dxa"/>
            <w:vAlign w:val="bottom"/>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640" w:type="dxa"/>
            <w:vAlign w:val="bottom"/>
          </w:tcPr>
          <w:p>
            <w:pPr>
              <w:jc w:val="right"/>
              <w:ind w:right="11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Profit/(loss) for the year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126,398</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(115,613)</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3,289</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for:</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153,193</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168,041</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177,213</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loss on vessels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162,149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28,627</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Loss on disposal of non-current assets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572</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of profit of associates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(1,800)</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(1,627)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(2,192)</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Financial income</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19</w:t>
            </w: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(4,784)</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(5,318)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(726)</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costs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166,627</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190,481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165,281</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Unrealized foreign exchange losses on cash and cash equivalents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329</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Realized foreign exchange losses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773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38"/>
        </w:trPr>
        <w:tc>
          <w:tcPr>
            <w:tcW w:w="6280" w:type="dxa"/>
            <w:vAlign w:val="bottom"/>
          </w:tcPr>
          <w:p>
            <w:pPr>
              <w:ind w:left="20"/>
              <w:spacing w:after="0" w:line="138" w:lineRule="exact"/>
              <w:rPr>
                <w:sz w:val="20"/>
                <w:szCs w:val="20"/>
                <w:color w:val="auto"/>
              </w:rPr>
            </w:pPr>
            <w:r>
              <w:rPr>
                <w:rFonts w:ascii="Arial" w:cs="Arial" w:eastAsia="Arial" w:hAnsi="Arial"/>
                <w:sz w:val="13"/>
                <w:szCs w:val="13"/>
                <w:color w:val="auto"/>
              </w:rPr>
              <w:t>Unrealized loss on derivative financial instruments held for trading including ineffective portion of cash flow</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6280" w:type="dxa"/>
            <w:vAlign w:val="bottom"/>
          </w:tcPr>
          <w:p>
            <w:pPr>
              <w:ind w:left="120"/>
              <w:spacing w:after="0"/>
              <w:rPr>
                <w:sz w:val="20"/>
                <w:szCs w:val="20"/>
                <w:color w:val="auto"/>
              </w:rPr>
            </w:pPr>
            <w:r>
              <w:rPr>
                <w:rFonts w:ascii="Arial" w:cs="Arial" w:eastAsia="Arial" w:hAnsi="Arial"/>
                <w:sz w:val="13"/>
                <w:szCs w:val="13"/>
                <w:color w:val="auto"/>
              </w:rPr>
              <w:t>hedges</w:t>
            </w:r>
          </w:p>
        </w:tc>
        <w:tc>
          <w:tcPr>
            <w:tcW w:w="320" w:type="dxa"/>
            <w:vAlign w:val="bottom"/>
          </w:tcPr>
          <w:p>
            <w:pPr>
              <w:jc w:val="center"/>
              <w:spacing w:after="0"/>
              <w:rPr>
                <w:sz w:val="20"/>
                <w:szCs w:val="20"/>
                <w:color w:val="auto"/>
              </w:rPr>
            </w:pPr>
            <w:r>
              <w:rPr>
                <w:rFonts w:ascii="Arial" w:cs="Arial" w:eastAsia="Arial" w:hAnsi="Arial"/>
                <w:sz w:val="13"/>
                <w:szCs w:val="13"/>
                <w:color w:val="auto"/>
                <w:w w:val="96"/>
              </w:rPr>
              <w:t>26</w:t>
            </w:r>
          </w:p>
        </w:tc>
        <w:tc>
          <w:tcPr>
            <w:tcW w:w="180" w:type="dxa"/>
            <w:vAlign w:val="bottom"/>
          </w:tcPr>
          <w:p>
            <w:pPr>
              <w:spacing w:after="0"/>
              <w:rPr>
                <w:sz w:val="13"/>
                <w:szCs w:val="13"/>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8,211</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54,201</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64,367</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Recycled loss of cash flow hedges reclassified to profit or loss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697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Non-cash defined benefit obligations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(51)</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5,447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5,849</w:t>
            </w:r>
          </w:p>
        </w:tc>
      </w:tr>
      <w:tr>
        <w:trPr>
          <w:trHeight w:val="20"/>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453,339</w:t>
            </w:r>
          </w:p>
        </w:tc>
        <w:tc>
          <w:tcPr>
            <w:tcW w:w="16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459,231</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442,337</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Movements in operating assets and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(Increase)/decrease in trade and other receivables including related parties, net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(33,286)</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27,609</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(11,361)</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Decrease/(increase) in prepayments and other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888</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(20,910)</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(Increase)/decrease in inventories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(915)</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(419)</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607</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(Increase)/decrease in other non-current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(465)</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(21,678)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11,758</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Increase in other non-current liabilities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2,957</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864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375</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accounts payable and other current liabilities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3,113</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23,436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21,678</w:t>
            </w:r>
          </w:p>
        </w:tc>
      </w:tr>
      <w:tr>
        <w:trPr>
          <w:trHeight w:val="142"/>
        </w:trPr>
        <w:tc>
          <w:tcPr>
            <w:tcW w:w="6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provided by operations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425,631</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489,248</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444,484</w:t>
            </w:r>
          </w:p>
        </w:tc>
        <w:tc>
          <w:tcPr>
            <w:tcW w:w="160" w:type="dxa"/>
            <w:vAlign w:val="bottom"/>
          </w:tcPr>
          <w:p>
            <w:pPr>
              <w:spacing w:after="0"/>
              <w:rPr>
                <w:sz w:val="12"/>
                <w:szCs w:val="12"/>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Interest paid</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line="142" w:lineRule="exact"/>
              <w:rPr>
                <w:sz w:val="20"/>
                <w:szCs w:val="20"/>
                <w:color w:val="auto"/>
              </w:rPr>
            </w:pPr>
            <w:r>
              <w:rPr>
                <w:rFonts w:ascii="Arial" w:cs="Arial" w:eastAsia="Arial" w:hAnsi="Arial"/>
                <w:sz w:val="13"/>
                <w:szCs w:val="13"/>
                <w:color w:val="auto"/>
              </w:rPr>
              <w:t>(141,921)</w:t>
            </w:r>
          </w:p>
        </w:tc>
        <w:tc>
          <w:tcPr>
            <w:tcW w:w="700" w:type="dxa"/>
            <w:vAlign w:val="bottom"/>
            <w:gridSpan w:val="2"/>
            <w:shd w:val="clear" w:color="auto" w:fill="CCEEFF"/>
          </w:tcPr>
          <w:p>
            <w:pPr>
              <w:jc w:val="right"/>
              <w:ind w:right="81"/>
              <w:spacing w:after="0" w:line="142" w:lineRule="exact"/>
              <w:rPr>
                <w:sz w:val="20"/>
                <w:szCs w:val="20"/>
                <w:color w:val="auto"/>
              </w:rPr>
            </w:pPr>
            <w:r>
              <w:rPr>
                <w:rFonts w:ascii="Arial" w:cs="Arial" w:eastAsia="Arial" w:hAnsi="Arial"/>
                <w:sz w:val="13"/>
                <w:szCs w:val="13"/>
                <w:color w:val="auto"/>
              </w:rPr>
              <w:t>(171,825)</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(155,533)</w:t>
            </w:r>
          </w:p>
        </w:tc>
      </w:tr>
      <w:tr>
        <w:trPr>
          <w:trHeight w:val="142"/>
        </w:trPr>
        <w:tc>
          <w:tcPr>
            <w:tcW w:w="6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cash provided by operating activities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283,710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317,423</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288,951</w:t>
            </w:r>
          </w:p>
        </w:tc>
        <w:tc>
          <w:tcPr>
            <w:tcW w:w="160" w:type="dxa"/>
            <w:vAlign w:val="bottom"/>
          </w:tcPr>
          <w:p>
            <w:pPr>
              <w:spacing w:after="0"/>
              <w:rPr>
                <w:sz w:val="12"/>
                <w:szCs w:val="12"/>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Payments for tangible fixed assets and vessels under construction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(673,787)</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(479,618)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(732,385)</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tangible fixed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2,322</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Return of capital expenditures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10,451</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investments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(136)</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(158)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Payments for right-of-use assets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(36)</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(935)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(5,803)</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received from associate</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5, 21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1,263</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1,313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1,725</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Purchase of short-term investments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(71,000)</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(82,500)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Maturity of short-term investments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46,000</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103,000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4,500</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Increase in restricted cash</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income received</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4,697</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5,469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844</w:t>
            </w:r>
          </w:p>
        </w:tc>
      </w:tr>
      <w:tr>
        <w:trPr>
          <w:trHeight w:val="142"/>
        </w:trPr>
        <w:tc>
          <w:tcPr>
            <w:tcW w:w="6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cash used in investing activities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(692,999</w:t>
            </w:r>
          </w:p>
        </w:tc>
        <w:tc>
          <w:tcPr>
            <w:tcW w:w="160" w:type="dxa"/>
            <w:vAlign w:val="bottom"/>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(442,978</w:t>
            </w:r>
          </w:p>
        </w:tc>
        <w:tc>
          <w:tcPr>
            <w:tcW w:w="160" w:type="dxa"/>
            <w:vAlign w:val="bottom"/>
          </w:tcPr>
          <w:p>
            <w:pPr>
              <w:jc w:val="right"/>
              <w:ind w:right="81"/>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(729,569)</w:t>
            </w:r>
          </w:p>
        </w:tc>
        <w:tc>
          <w:tcPr>
            <w:tcW w:w="160" w:type="dxa"/>
            <w:vAlign w:val="bottom"/>
          </w:tcPr>
          <w:p>
            <w:pPr>
              <w:spacing w:after="0"/>
              <w:rPr>
                <w:sz w:val="12"/>
                <w:szCs w:val="12"/>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Proceeds from loans and bonds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524,165</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905,730</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2,138,035</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and bond repayments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(231,753)</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(547,751)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(1,481,709)</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 of loan and bond issuance costs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(7,449)</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(25,912)</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(35,795)</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issuance costs received</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792</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Proceeds from GasLog Partners' common unit offerings (net of underwriting discounts and commissions)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60,345</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GasLog Partners' preference unit offerings (net of underwriting discounts and commissions)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208,394</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 of equity raising costs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(917)</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(1,670)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(1,153)</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private placement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36,000</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 for cross currency swaps' ("CCSs") termination/modification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(3,731)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(4,052)</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for bond repurchase at a premium</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(46,721)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(1,937)</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Payment for interest rate swaps termination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(31,662)</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entering into interest rate swaps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31,622</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Purchase of treasury shares or GasLog Partners' common units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(62)</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(26,642)</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(2,996)</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options' exercise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754</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280" w:type="dxa"/>
            <w:vAlign w:val="bottom"/>
          </w:tcPr>
          <w:p>
            <w:pPr>
              <w:ind w:left="20"/>
              <w:spacing w:after="0"/>
              <w:rPr>
                <w:sz w:val="20"/>
                <w:szCs w:val="20"/>
                <w:color w:val="auto"/>
              </w:rPr>
            </w:pPr>
            <w:r>
              <w:rPr>
                <w:rFonts w:ascii="Arial" w:cs="Arial" w:eastAsia="Arial" w:hAnsi="Arial"/>
                <w:sz w:val="13"/>
                <w:szCs w:val="13"/>
                <w:color w:val="auto"/>
              </w:rPr>
              <w:t>Dividends paid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(178,028)</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color w:val="auto"/>
              </w:rPr>
              <w:t>(193,436)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(90,041)</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lease liability</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(7,329)</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(9,950)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(11,150)</w:t>
            </w:r>
          </w:p>
        </w:tc>
      </w:tr>
      <w:tr>
        <w:trPr>
          <w:trHeight w:val="142"/>
        </w:trPr>
        <w:tc>
          <w:tcPr>
            <w:tcW w:w="6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cash provided by financing activities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368,120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50,066</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545,954</w:t>
            </w:r>
          </w:p>
        </w:tc>
        <w:tc>
          <w:tcPr>
            <w:tcW w:w="160" w:type="dxa"/>
            <w:vAlign w:val="bottom"/>
          </w:tcPr>
          <w:p>
            <w:pPr>
              <w:spacing w:after="0"/>
              <w:rPr>
                <w:sz w:val="12"/>
                <w:szCs w:val="12"/>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Effects of exchange rate changes on cash and cash equivalents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1"/>
              <w:spacing w:after="0" w:line="142" w:lineRule="exact"/>
              <w:rPr>
                <w:sz w:val="20"/>
                <w:szCs w:val="20"/>
                <w:color w:val="auto"/>
              </w:rPr>
            </w:pPr>
            <w:r>
              <w:rPr>
                <w:rFonts w:ascii="Arial" w:cs="Arial" w:eastAsia="Arial" w:hAnsi="Arial"/>
                <w:sz w:val="13"/>
                <w:szCs w:val="13"/>
                <w:color w:val="auto"/>
              </w:rPr>
              <w:t>(329)</w:t>
            </w:r>
          </w:p>
        </w:tc>
        <w:tc>
          <w:tcPr>
            <w:tcW w:w="700" w:type="dxa"/>
            <w:vAlign w:val="bottom"/>
            <w:gridSpan w:val="2"/>
            <w:shd w:val="clear" w:color="auto" w:fill="CCEEFF"/>
          </w:tcPr>
          <w:p>
            <w:pPr>
              <w:jc w:val="right"/>
              <w:ind w:right="81"/>
              <w:spacing w:after="0" w:line="142" w:lineRule="exact"/>
              <w:rPr>
                <w:sz w:val="20"/>
                <w:szCs w:val="20"/>
                <w:color w:val="auto"/>
              </w:rPr>
            </w:pPr>
            <w:r>
              <w:rPr>
                <w:rFonts w:ascii="Arial" w:cs="Arial" w:eastAsia="Arial" w:hAnsi="Arial"/>
                <w:sz w:val="13"/>
                <w:szCs w:val="13"/>
                <w:color w:val="auto"/>
              </w:rPr>
              <w:t>(3,358)</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(1,814)</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(Decrease)/increase in cash and cash equivalents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(41,498)</w:t>
            </w:r>
          </w:p>
        </w:tc>
        <w:tc>
          <w:tcPr>
            <w:tcW w:w="70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(78,847)</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103,522</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the year</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384,092</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342,594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263,747</w:t>
            </w:r>
          </w:p>
        </w:tc>
      </w:tr>
      <w:tr>
        <w:trPr>
          <w:trHeight w:val="142"/>
        </w:trPr>
        <w:tc>
          <w:tcPr>
            <w:tcW w:w="6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and cash equivalents, end of the year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342,594</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263,747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367,269</w:t>
            </w:r>
          </w:p>
        </w:tc>
        <w:tc>
          <w:tcPr>
            <w:tcW w:w="160" w:type="dxa"/>
            <w:vAlign w:val="bottom"/>
          </w:tcPr>
          <w:p>
            <w:pPr>
              <w:spacing w:after="0"/>
              <w:rPr>
                <w:sz w:val="12"/>
                <w:szCs w:val="12"/>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6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Capital expenditures included in liabilities at the end of the year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19,989</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18,976</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15,273</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 included in liabilities at the end of the year—Right-of-use assets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107</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173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169</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Equity raising costs included in liabilities at the end of the year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1,067</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14</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issuance costs included in liabilities at the end of the year</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407</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1,317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320</w:t>
            </w:r>
          </w:p>
        </w:tc>
      </w:tr>
      <w:tr>
        <w:trPr>
          <w:trHeight w:val="149"/>
        </w:trPr>
        <w:tc>
          <w:tcPr>
            <w:tcW w:w="6280" w:type="dxa"/>
            <w:vAlign w:val="bottom"/>
          </w:tcPr>
          <w:p>
            <w:pPr>
              <w:ind w:left="20"/>
              <w:spacing w:after="0"/>
              <w:rPr>
                <w:sz w:val="20"/>
                <w:szCs w:val="20"/>
                <w:color w:val="auto"/>
              </w:rPr>
            </w:pPr>
            <w:r>
              <w:rPr>
                <w:rFonts w:ascii="Arial" w:cs="Arial" w:eastAsia="Arial" w:hAnsi="Arial"/>
                <w:sz w:val="13"/>
                <w:szCs w:val="13"/>
                <w:color w:val="auto"/>
              </w:rPr>
              <w:t>Dividend declared included in liabilities at the end of the year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2,516</w:t>
            </w:r>
          </w:p>
        </w:tc>
      </w:tr>
      <w:tr>
        <w:trPr>
          <w:trHeight w:val="148"/>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related to leases at the end of the year</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287</w:t>
            </w: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228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 GasLog's chairman, Peter G. Livanos, is GasLog's largest shareholder through his ownership of Ceres Shipping Ltd. ("Ceres Shipping"), which controls Blenheim Holdings Ltd. ("Blenheim Holdings"). As of December 31, 2020, entities controlled by members of the Livanos family, including GasLog's chairman, are deemed to beneficially own approximately 41.4% of GasLog's issued and outstanding common shares. As a result of his ownership of GasLog's common shares, Mr. Livanos can effectively control the outcome of most matters on which GasLog's shareholders are entitled to vote.</w:t>
      </w:r>
    </w:p>
    <w:p>
      <w:pPr>
        <w:spacing w:after="0" w:line="173"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in exchange for (i) 162,358 common units and 9,822,358 subordinated units issued to GasLog</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49.8% ownership interest and all of the incentive distribution rights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 (iii) $65,695 of cash consideration paid directly to GasLog from the GasLog Partners' IPO proceeds.</w:t>
      </w:r>
    </w:p>
    <w:p>
      <w:pPr>
        <w:spacing w:after="0" w:line="173"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Since GasLog Partners' IPO, the Partnership acquired 100% of the ownership interests in the following GasLog subsidiaries that own the vessels listed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10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 Acquisition Completed</w:t>
            </w:r>
          </w:p>
        </w:tc>
        <w:tc>
          <w:tcPr>
            <w:tcW w:w="2780" w:type="dxa"/>
            <w:vAlign w:val="bottom"/>
          </w:tcPr>
          <w:p>
            <w:pPr>
              <w:ind w:left="760"/>
              <w:spacing w:after="0"/>
              <w:rPr>
                <w:sz w:val="20"/>
                <w:szCs w:val="20"/>
                <w:color w:val="auto"/>
              </w:rPr>
            </w:pPr>
            <w:r>
              <w:rPr>
                <w:rFonts w:ascii="Arial" w:cs="Arial" w:eastAsia="Arial" w:hAnsi="Arial"/>
                <w:sz w:val="13"/>
                <w:szCs w:val="13"/>
                <w:b w:val="1"/>
                <w:bCs w:val="1"/>
                <w:color w:val="auto"/>
              </w:rPr>
              <w:t>Subsidiaries Acquired</w:t>
            </w:r>
          </w:p>
        </w:tc>
        <w:tc>
          <w:tcPr>
            <w:tcW w:w="320" w:type="dxa"/>
            <w:vAlign w:val="bottom"/>
          </w:tcPr>
          <w:p>
            <w:pPr>
              <w:spacing w:after="0"/>
              <w:rPr>
                <w:sz w:val="14"/>
                <w:szCs w:val="14"/>
                <w:color w:val="auto"/>
              </w:rPr>
            </w:pPr>
          </w:p>
        </w:tc>
        <w:tc>
          <w:tcPr>
            <w:tcW w:w="3920" w:type="dxa"/>
            <w:vAlign w:val="bottom"/>
            <w:gridSpan w:val="2"/>
          </w:tcPr>
          <w:p>
            <w:pPr>
              <w:ind w:left="880"/>
              <w:spacing w:after="0"/>
              <w:rPr>
                <w:sz w:val="20"/>
                <w:szCs w:val="20"/>
                <w:color w:val="auto"/>
              </w:rPr>
            </w:pPr>
            <w:r>
              <w:rPr>
                <w:rFonts w:ascii="Arial" w:cs="Arial" w:eastAsia="Arial" w:hAnsi="Arial"/>
                <w:sz w:val="13"/>
                <w:szCs w:val="13"/>
                <w:b w:val="1"/>
                <w:bCs w:val="1"/>
                <w:color w:val="auto"/>
              </w:rPr>
              <w:t>Vessels Purchased</w:t>
            </w:r>
          </w:p>
        </w:tc>
      </w:tr>
      <w:tr>
        <w:trPr>
          <w:trHeight w:val="201"/>
        </w:trPr>
        <w:tc>
          <w:tcPr>
            <w:tcW w:w="11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September 29, 2014</w:t>
            </w:r>
          </w:p>
        </w:tc>
        <w:tc>
          <w:tcPr>
            <w:tcW w:w="1460" w:type="dxa"/>
            <w:vAlign w:val="bottom"/>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GAS-sixteen Ltd. and</w:t>
            </w:r>
          </w:p>
        </w:tc>
        <w:tc>
          <w:tcPr>
            <w:tcW w:w="320" w:type="dxa"/>
            <w:vAlign w:val="bottom"/>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c>
          <w:tcPr>
            <w:tcW w:w="114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32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Methane Jane Elizabeth</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July 1, 2015</w:t>
            </w:r>
          </w:p>
        </w:tc>
        <w:tc>
          <w:tcPr>
            <w:tcW w:w="2780" w:type="dxa"/>
            <w:vAlign w:val="bottom"/>
          </w:tcPr>
          <w:p>
            <w:pPr>
              <w:spacing w:after="0"/>
              <w:rPr>
                <w:sz w:val="20"/>
                <w:szCs w:val="20"/>
                <w:color w:val="auto"/>
              </w:rPr>
            </w:pPr>
            <w:r>
              <w:rPr>
                <w:rFonts w:ascii="Arial" w:cs="Arial" w:eastAsia="Arial" w:hAnsi="Arial"/>
                <w:sz w:val="18"/>
                <w:szCs w:val="18"/>
                <w:color w:val="auto"/>
              </w:rPr>
              <w:t>GAS-nineteen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Methane Alison Victoria, Methane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GAS-twenty Ltd. and</w:t>
            </w:r>
          </w:p>
        </w:tc>
        <w:tc>
          <w:tcPr>
            <w:tcW w:w="320" w:type="dxa"/>
            <w:vAlign w:val="bottom"/>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GAS-twenty one Ltd.</w:t>
            </w:r>
          </w:p>
        </w:tc>
        <w:tc>
          <w:tcPr>
            <w:tcW w:w="3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Sally</w:t>
            </w:r>
          </w:p>
        </w:tc>
      </w:tr>
      <w:tr>
        <w:trPr>
          <w:trHeight w:val="218"/>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2016</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GAS-seven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Seattle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May 3, 2017</w:t>
            </w:r>
          </w:p>
        </w:tc>
        <w:tc>
          <w:tcPr>
            <w:tcW w:w="2780" w:type="dxa"/>
            <w:vAlign w:val="bottom"/>
          </w:tcPr>
          <w:p>
            <w:pPr>
              <w:spacing w:after="0"/>
              <w:rPr>
                <w:sz w:val="20"/>
                <w:szCs w:val="20"/>
                <w:color w:val="auto"/>
              </w:rPr>
            </w:pPr>
            <w:r>
              <w:rPr>
                <w:rFonts w:ascii="Arial" w:cs="Arial" w:eastAsia="Arial" w:hAnsi="Arial"/>
                <w:sz w:val="18"/>
                <w:szCs w:val="18"/>
                <w:color w:val="auto"/>
              </w:rPr>
              <w:t>GAS-eleven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GasLog Greece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Geneva</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October 20, 2017</w:t>
            </w:r>
          </w:p>
        </w:tc>
        <w:tc>
          <w:tcPr>
            <w:tcW w:w="2780" w:type="dxa"/>
            <w:vAlign w:val="bottom"/>
          </w:tcPr>
          <w:p>
            <w:pPr>
              <w:spacing w:after="0"/>
              <w:rPr>
                <w:sz w:val="20"/>
                <w:szCs w:val="20"/>
                <w:color w:val="auto"/>
              </w:rPr>
            </w:pPr>
            <w:r>
              <w:rPr>
                <w:rFonts w:ascii="Arial" w:cs="Arial" w:eastAsia="Arial" w:hAnsi="Arial"/>
                <w:sz w:val="18"/>
                <w:szCs w:val="18"/>
                <w:color w:val="auto"/>
              </w:rPr>
              <w:t>GAS-eight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Solaris</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26, 2018</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GAS-fourteen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Gibraltar</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2780" w:type="dxa"/>
            <w:vAlign w:val="bottom"/>
          </w:tcPr>
          <w:p>
            <w:pPr>
              <w:spacing w:after="0"/>
              <w:rPr>
                <w:sz w:val="20"/>
                <w:szCs w:val="20"/>
                <w:color w:val="auto"/>
              </w:rPr>
            </w:pPr>
            <w:r>
              <w:rPr>
                <w:rFonts w:ascii="Arial" w:cs="Arial" w:eastAsia="Arial" w:hAnsi="Arial"/>
                <w:sz w:val="18"/>
                <w:szCs w:val="18"/>
                <w:color w:val="auto"/>
              </w:rPr>
              <w:t>GAS-twenty seven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2019</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GAS-twelve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Glasgow</w:t>
            </w:r>
          </w:p>
        </w:tc>
        <w:tc>
          <w:tcPr>
            <w:tcW w:w="1140" w:type="dxa"/>
            <w:vAlign w:val="bottom"/>
          </w:tcPr>
          <w:p>
            <w:pPr>
              <w:spacing w:after="0"/>
              <w:rPr>
                <w:sz w:val="18"/>
                <w:szCs w:val="18"/>
                <w:color w:val="auto"/>
              </w:rPr>
            </w:pPr>
          </w:p>
        </w:tc>
      </w:tr>
      <w:tr>
        <w:trPr>
          <w:trHeight w:val="430"/>
        </w:trPr>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80" w:type="dxa"/>
            <w:vAlign w:val="bottom"/>
          </w:tcPr>
          <w:p>
            <w:pPr>
              <w:ind w:left="1240"/>
              <w:spacing w:after="0"/>
              <w:rPr>
                <w:sz w:val="20"/>
                <w:szCs w:val="20"/>
                <w:color w:val="auto"/>
              </w:rPr>
            </w:pPr>
            <w:r>
              <w:rPr>
                <w:rFonts w:ascii="Arial" w:cs="Arial" w:eastAsia="Arial" w:hAnsi="Arial"/>
                <w:sz w:val="18"/>
                <w:szCs w:val="18"/>
                <w:color w:val="auto"/>
              </w:rPr>
              <w:t>F-10</w:t>
            </w: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2020, GasLog holds a 35.3% ownership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97" w:lineRule="exact"/>
        <w:rPr>
          <w:sz w:val="20"/>
          <w:szCs w:val="20"/>
          <w:color w:val="auto"/>
        </w:rPr>
      </w:pPr>
    </w:p>
    <w:p>
      <w:pPr>
        <w:ind w:right="440" w:firstLine="348"/>
        <w:spacing w:after="0" w:line="331" w:lineRule="auto"/>
        <w:rPr>
          <w:sz w:val="20"/>
          <w:szCs w:val="20"/>
          <w:color w:val="auto"/>
        </w:rPr>
      </w:pPr>
      <w:r>
        <w:rPr>
          <w:rFonts w:ascii="Arial" w:cs="Arial" w:eastAsia="Arial" w:hAnsi="Arial"/>
          <w:sz w:val="16"/>
          <w:szCs w:val="16"/>
          <w:color w:val="auto"/>
        </w:rPr>
        <w:t>The accompanying consolidated financial statements include the financial statements of GasLog and its subsidiaries. Unless indicated otherwise, the subsidiaries listed below were 100% held (either directly or indirectly) by GasLog. As of December 31, 2020, the Group's structure is as follows:</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Cargo</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capacity</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Cubic</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Place of</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Date of</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meters</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incorporation</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Principal activities</w:t>
            </w: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("cbm")</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6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w w:val="96"/>
              </w:rPr>
              <w:t>Delivery date</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Subsidiaries:</w:t>
            </w: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Investments Ltd.</w:t>
            </w:r>
          </w:p>
        </w:tc>
        <w:tc>
          <w:tcPr>
            <w:tcW w:w="940" w:type="dxa"/>
            <w:vAlign w:val="bottom"/>
          </w:tcPr>
          <w:p>
            <w:pPr>
              <w:jc w:val="center"/>
              <w:spacing w:after="0"/>
              <w:rPr>
                <w:sz w:val="20"/>
                <w:szCs w:val="20"/>
                <w:color w:val="auto"/>
              </w:rPr>
            </w:pPr>
            <w:r>
              <w:rPr>
                <w:rFonts w:ascii="Arial" w:cs="Arial" w:eastAsia="Arial" w:hAnsi="Arial"/>
                <w:sz w:val="13"/>
                <w:szCs w:val="13"/>
                <w:color w:val="auto"/>
              </w:rPr>
              <w:t>BVI</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July 2003</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 Carriers Ltd. ("GasLog</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Carriers")</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February 2008</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Shipping Company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January 2006</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Partners GP LLC</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Marshall Islands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1"/>
              </w:rPr>
              <w:t>January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Cyprus Investments Ltd.</w:t>
            </w:r>
          </w:p>
        </w:tc>
        <w:tc>
          <w:tcPr>
            <w:tcW w:w="940" w:type="dxa"/>
            <w:vAlign w:val="bottom"/>
          </w:tcPr>
          <w:p>
            <w:pPr>
              <w:jc w:val="center"/>
              <w:spacing w:after="0"/>
              <w:rPr>
                <w:sz w:val="20"/>
                <w:szCs w:val="20"/>
                <w:color w:val="auto"/>
              </w:rPr>
            </w:pPr>
            <w:r>
              <w:rPr>
                <w:rFonts w:ascii="Arial" w:cs="Arial" w:eastAsia="Arial" w:hAnsi="Arial"/>
                <w:sz w:val="13"/>
                <w:szCs w:val="13"/>
                <w:color w:val="auto"/>
                <w:w w:val="97"/>
              </w:rPr>
              <w:t>Cyprus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2016</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4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England and</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Services UK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Wales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Services US Inc.</w:t>
            </w:r>
          </w:p>
        </w:tc>
        <w:tc>
          <w:tcPr>
            <w:tcW w:w="940" w:type="dxa"/>
            <w:vAlign w:val="bottom"/>
          </w:tcPr>
          <w:p>
            <w:pPr>
              <w:jc w:val="center"/>
              <w:spacing w:after="0"/>
              <w:rPr>
                <w:sz w:val="20"/>
                <w:szCs w:val="20"/>
                <w:color w:val="auto"/>
              </w:rPr>
            </w:pPr>
            <w:r>
              <w:rPr>
                <w:rFonts w:ascii="Arial" w:cs="Arial" w:eastAsia="Arial" w:hAnsi="Arial"/>
                <w:sz w:val="13"/>
                <w:szCs w:val="13"/>
                <w:color w:val="auto"/>
                <w:w w:val="94"/>
              </w:rPr>
              <w:t>Delaware</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May 2014</w:t>
            </w: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Asia Pte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Singapore</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2015</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3"/>
                <w:szCs w:val="13"/>
                <w:color w:val="auto"/>
                <w:w w:val="89"/>
              </w:rPr>
              <w:t>Vessel management</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LNG Services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August 2004</w:t>
            </w:r>
          </w:p>
        </w:tc>
        <w:tc>
          <w:tcPr>
            <w:tcW w:w="134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Monaco S.A.M.</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Monaco</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February 2010</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GAS-Two Panama S.A.</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Panama</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November 2020</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GAS-one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February 2008</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Savannah</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2010</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GAS-two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February 2008</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Singapore</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July 2010</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GAS-six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February 2011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0"/>
              </w:rPr>
              <w:t>GasLog Skagen</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2013</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0" w:type="dxa"/>
            <w:vAlign w:val="bottom"/>
          </w:tcPr>
          <w:p>
            <w:pPr>
              <w:spacing w:after="0"/>
              <w:rPr>
                <w:sz w:val="1"/>
                <w:szCs w:val="1"/>
                <w:color w:val="auto"/>
              </w:rPr>
            </w:pPr>
          </w:p>
        </w:tc>
      </w:tr>
      <w:tr>
        <w:trPr>
          <w:trHeight w:val="15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GAS-nine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June 2011</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Saratoga</w:t>
            </w:r>
          </w:p>
        </w:tc>
        <w:tc>
          <w:tcPr>
            <w:tcW w:w="1000" w:type="dxa"/>
            <w:vAlign w:val="bottom"/>
            <w:gridSpan w:val="2"/>
          </w:tcPr>
          <w:p>
            <w:pPr>
              <w:jc w:val="center"/>
              <w:ind w:left="153"/>
              <w:spacing w:after="0"/>
              <w:rPr>
                <w:sz w:val="20"/>
                <w:szCs w:val="20"/>
                <w:color w:val="auto"/>
              </w:rPr>
            </w:pPr>
            <w:r>
              <w:rPr>
                <w:rFonts w:ascii="Arial" w:cs="Arial" w:eastAsia="Arial" w:hAnsi="Arial"/>
                <w:sz w:val="13"/>
                <w:szCs w:val="13"/>
                <w:color w:val="auto"/>
                <w:w w:val="89"/>
              </w:rPr>
              <w:t>2014</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GAS-ten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8"/>
              </w:rPr>
              <w:t>June 2011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Salem</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2015</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GAS-fifteen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August 2013</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153,600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Chelsea</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3"/>
              </w:rPr>
              <w:t>October 2013</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GAS-eighteen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1"/>
              </w:rPr>
              <w:t>January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Lydon Volney</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GAS-twenty two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May 2014</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Genoa</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three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Gladstone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2019</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GAS-twenty four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June 2014</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Houston</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January 2018</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five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8"/>
              </w:rPr>
              <w:t>June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Lease asset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Hong Kong</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GAS-twenty six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January 2015</w:t>
            </w:r>
          </w:p>
        </w:tc>
        <w:tc>
          <w:tcPr>
            <w:tcW w:w="1340" w:type="dxa"/>
            <w:vAlign w:val="bottom"/>
          </w:tcPr>
          <w:p>
            <w:pPr>
              <w:jc w:val="center"/>
              <w:spacing w:after="0"/>
              <w:rPr>
                <w:sz w:val="20"/>
                <w:szCs w:val="20"/>
                <w:color w:val="auto"/>
              </w:rPr>
            </w:pPr>
            <w:r>
              <w:rPr>
                <w:rFonts w:ascii="Arial" w:cs="Arial" w:eastAsia="Arial" w:hAnsi="Arial"/>
                <w:sz w:val="13"/>
                <w:szCs w:val="13"/>
                <w:color w:val="auto"/>
                <w:w w:val="90"/>
              </w:rPr>
              <w:t>Lease asset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170,000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Methane Julia Louise</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March 2015</w:t>
            </w:r>
          </w:p>
        </w:tc>
        <w:tc>
          <w:tcPr>
            <w:tcW w:w="0" w:type="dxa"/>
            <w:vAlign w:val="bottom"/>
          </w:tcPr>
          <w:p>
            <w:pPr>
              <w:spacing w:after="0"/>
              <w:rPr>
                <w:sz w:val="1"/>
                <w:szCs w:val="1"/>
                <w:color w:val="auto"/>
              </w:rPr>
            </w:pPr>
          </w:p>
        </w:tc>
      </w:tr>
      <w:tr>
        <w:trPr>
          <w:trHeight w:val="138"/>
        </w:trPr>
        <w:tc>
          <w:tcPr>
            <w:tcW w:w="34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September</w:t>
            </w: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eight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89"/>
              </w:rPr>
              <w:t>2016</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Windsor</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2020</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1"/>
              </w:rPr>
              <w:t>September</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w w:val="91"/>
              </w:rPr>
              <w:t>Dormant</w:t>
            </w:r>
            <w:r>
              <w:rPr>
                <w:rFonts w:ascii="Arial" w:cs="Arial" w:eastAsia="Arial" w:hAnsi="Arial"/>
                <w:sz w:val="22"/>
                <w:szCs w:val="22"/>
                <w:color w:val="auto"/>
                <w:w w:val="91"/>
                <w:vertAlign w:val="superscript"/>
              </w:rPr>
              <w:t>(2)</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GAS-twenty nine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89"/>
              </w:rPr>
              <w:t>2016</w:t>
            </w:r>
          </w:p>
        </w:tc>
        <w:tc>
          <w:tcPr>
            <w:tcW w:w="1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December 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Westminster</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GAS-thirty one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2017</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1"/>
              </w:rPr>
              <w:t>GasLog Wales</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May 2020</w:t>
            </w:r>
          </w:p>
        </w:tc>
        <w:tc>
          <w:tcPr>
            <w:tcW w:w="0" w:type="dxa"/>
            <w:vAlign w:val="bottom"/>
          </w:tcPr>
          <w:p>
            <w:pPr>
              <w:spacing w:after="0"/>
              <w:rPr>
                <w:sz w:val="1"/>
                <w:szCs w:val="1"/>
                <w:color w:val="auto"/>
              </w:rPr>
            </w:pPr>
          </w:p>
        </w:tc>
      </w:tr>
      <w:tr>
        <w:trPr>
          <w:trHeight w:val="138"/>
        </w:trPr>
        <w:tc>
          <w:tcPr>
            <w:tcW w:w="34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November</w:t>
            </w: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two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December 2017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GasLog Georgetown</w:t>
            </w:r>
          </w:p>
        </w:tc>
        <w:tc>
          <w:tcPr>
            <w:tcW w:w="1000" w:type="dxa"/>
            <w:vAlign w:val="bottom"/>
            <w:gridSpan w:val="2"/>
            <w:shd w:val="clear" w:color="auto" w:fill="CCEEFF"/>
          </w:tcPr>
          <w:p>
            <w:pPr>
              <w:jc w:val="center"/>
              <w:ind w:left="153"/>
              <w:spacing w:after="0"/>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color w:val="auto"/>
                <w:w w:val="92"/>
              </w:rPr>
              <w:t>January 4,</w:t>
            </w:r>
          </w:p>
        </w:tc>
        <w:tc>
          <w:tcPr>
            <w:tcW w:w="0" w:type="dxa"/>
            <w:vAlign w:val="bottom"/>
          </w:tcPr>
          <w:p>
            <w:pPr>
              <w:spacing w:after="0"/>
              <w:rPr>
                <w:sz w:val="1"/>
                <w:szCs w:val="1"/>
                <w:color w:val="auto"/>
              </w:rPr>
            </w:pPr>
          </w:p>
        </w:tc>
      </w:tr>
      <w:tr>
        <w:trPr>
          <w:trHeight w:val="15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GAS-thirty three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May 2018</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Galveston</w:t>
            </w:r>
          </w:p>
        </w:tc>
        <w:tc>
          <w:tcPr>
            <w:tcW w:w="1000" w:type="dxa"/>
            <w:vAlign w:val="bottom"/>
            <w:gridSpan w:val="2"/>
          </w:tcPr>
          <w:p>
            <w:pPr>
              <w:jc w:val="center"/>
              <w:ind w:left="153"/>
              <w:spacing w:after="0"/>
              <w:rPr>
                <w:sz w:val="20"/>
                <w:szCs w:val="20"/>
                <w:color w:val="auto"/>
              </w:rPr>
            </w:pPr>
            <w:r>
              <w:rPr>
                <w:rFonts w:ascii="Arial" w:cs="Arial" w:eastAsia="Arial" w:hAnsi="Arial"/>
                <w:sz w:val="13"/>
                <w:szCs w:val="13"/>
                <w:color w:val="auto"/>
                <w:w w:val="89"/>
              </w:rPr>
              <w:t>2021</w:t>
            </w:r>
          </w:p>
        </w:tc>
        <w:tc>
          <w:tcPr>
            <w:tcW w:w="0" w:type="dxa"/>
            <w:vAlign w:val="bottom"/>
          </w:tcPr>
          <w:p>
            <w:pPr>
              <w:spacing w:after="0"/>
              <w:rPr>
                <w:sz w:val="1"/>
                <w:szCs w:val="1"/>
                <w:color w:val="auto"/>
              </w:rPr>
            </w:pPr>
          </w:p>
        </w:tc>
      </w:tr>
      <w:tr>
        <w:trPr>
          <w:trHeight w:val="175"/>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four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2018</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Hull No. 2311</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Q2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GAS-thirty five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2018</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Hull No. 2312</w:t>
            </w:r>
          </w:p>
        </w:tc>
        <w:tc>
          <w:tcPr>
            <w:tcW w:w="1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2"/>
                <w:szCs w:val="12"/>
                <w:color w:val="auto"/>
                <w:w w:val="96"/>
              </w:rPr>
              <w:t>Q3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six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December 2018</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GAS-thirty seven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2018</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42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 Hellas-1 Special Maritime</w:t>
            </w: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GasLog Warsaw</w:t>
            </w:r>
            <w:r>
              <w:rPr>
                <w:rFonts w:ascii="Arial" w:cs="Arial" w:eastAsia="Arial" w:hAnsi="Arial"/>
                <w:sz w:val="22"/>
                <w:szCs w:val="22"/>
                <w:color w:val="auto"/>
                <w:w w:val="89"/>
                <w:vertAlign w:val="superscript"/>
              </w:rPr>
              <w:t>(2)</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Enterprise</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Greece</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8"/>
              </w:rPr>
              <w:t>June 2019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2019</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35.3% interest subsidiaries:</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Partners LP</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Marshall Islands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1"/>
              </w:rPr>
              <w:t>January 2014</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GasLog Partners Holdings LLC</w:t>
            </w:r>
          </w:p>
        </w:tc>
        <w:tc>
          <w:tcPr>
            <w:tcW w:w="940" w:type="dxa"/>
            <w:vAlign w:val="bottom"/>
          </w:tcPr>
          <w:p>
            <w:pPr>
              <w:jc w:val="center"/>
              <w:spacing w:after="0"/>
              <w:rPr>
                <w:sz w:val="20"/>
                <w:szCs w:val="20"/>
                <w:color w:val="auto"/>
              </w:rPr>
            </w:pPr>
            <w:r>
              <w:rPr>
                <w:rFonts w:ascii="Arial" w:cs="Arial" w:eastAsia="Arial" w:hAnsi="Arial"/>
                <w:sz w:val="13"/>
                <w:szCs w:val="13"/>
                <w:color w:val="auto"/>
                <w:w w:val="93"/>
              </w:rPr>
              <w:t>Marshall Islands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April 2014</w:t>
            </w: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GAS-three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9"/>
              </w:rPr>
              <w:t>April 2010</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Shanghai</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2013</w:t>
            </w:r>
          </w:p>
        </w:tc>
        <w:tc>
          <w:tcPr>
            <w:tcW w:w="0" w:type="dxa"/>
            <w:vAlign w:val="bottom"/>
          </w:tcPr>
          <w:p>
            <w:pPr>
              <w:spacing w:after="0"/>
              <w:rPr>
                <w:sz w:val="1"/>
                <w:szCs w:val="1"/>
                <w:color w:val="auto"/>
              </w:rPr>
            </w:pPr>
          </w:p>
        </w:tc>
      </w:tr>
      <w:tr>
        <w:trPr>
          <w:trHeight w:val="148"/>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GAS-four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April 2010</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3"/>
              </w:rPr>
              <w:t>GasLog Santiago</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March 2013</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GAS-five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February 2011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0"/>
              </w:rPr>
              <w:t>GasLog Sydney</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2013</w:t>
            </w:r>
          </w:p>
        </w:tc>
        <w:tc>
          <w:tcPr>
            <w:tcW w:w="0" w:type="dxa"/>
            <w:vAlign w:val="bottom"/>
          </w:tcPr>
          <w:p>
            <w:pPr>
              <w:spacing w:after="0"/>
              <w:rPr>
                <w:sz w:val="1"/>
                <w:szCs w:val="1"/>
                <w:color w:val="auto"/>
              </w:rPr>
            </w:pPr>
          </w:p>
        </w:tc>
      </w:tr>
      <w:tr>
        <w:trPr>
          <w:trHeight w:val="138"/>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0" w:type="dxa"/>
            <w:vAlign w:val="bottom"/>
          </w:tcPr>
          <w:p>
            <w:pPr>
              <w:spacing w:after="0"/>
              <w:rPr>
                <w:sz w:val="1"/>
                <w:szCs w:val="1"/>
                <w:color w:val="auto"/>
              </w:rPr>
            </w:pPr>
          </w:p>
        </w:tc>
      </w:tr>
      <w:tr>
        <w:trPr>
          <w:trHeight w:val="159"/>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GAS-seven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March 2011</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3"/>
              </w:rPr>
              <w:t>GasLog Seattle</w:t>
            </w:r>
          </w:p>
        </w:tc>
        <w:tc>
          <w:tcPr>
            <w:tcW w:w="1000" w:type="dxa"/>
            <w:vAlign w:val="bottom"/>
            <w:gridSpan w:val="2"/>
          </w:tcPr>
          <w:p>
            <w:pPr>
              <w:jc w:val="center"/>
              <w:ind w:left="153"/>
              <w:spacing w:after="0"/>
              <w:rPr>
                <w:sz w:val="20"/>
                <w:szCs w:val="20"/>
                <w:color w:val="auto"/>
              </w:rPr>
            </w:pPr>
            <w:r>
              <w:rPr>
                <w:rFonts w:ascii="Arial" w:cs="Arial" w:eastAsia="Arial" w:hAnsi="Arial"/>
                <w:sz w:val="13"/>
                <w:szCs w:val="13"/>
                <w:color w:val="auto"/>
                <w:w w:val="89"/>
              </w:rPr>
              <w:t>2013</w:t>
            </w:r>
          </w:p>
        </w:tc>
        <w:tc>
          <w:tcPr>
            <w:tcW w:w="0" w:type="dxa"/>
            <w:vAlign w:val="bottom"/>
          </w:tcPr>
          <w:p>
            <w:pPr>
              <w:spacing w:after="0"/>
              <w:rPr>
                <w:sz w:val="1"/>
                <w:szCs w:val="1"/>
                <w:color w:val="auto"/>
              </w:rPr>
            </w:pPr>
          </w:p>
        </w:tc>
      </w:tr>
      <w:tr>
        <w:trPr>
          <w:trHeight w:val="148"/>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GAS-eight Ltd.</w:t>
            </w:r>
          </w:p>
        </w:tc>
        <w:tc>
          <w:tcPr>
            <w:tcW w:w="9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March 2011</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Solaris</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June 2014</w:t>
            </w:r>
          </w:p>
        </w:tc>
        <w:tc>
          <w:tcPr>
            <w:tcW w:w="0" w:type="dxa"/>
            <w:vAlign w:val="bottom"/>
          </w:tcPr>
          <w:p>
            <w:pPr>
              <w:spacing w:after="0"/>
              <w:rPr>
                <w:sz w:val="1"/>
                <w:szCs w:val="1"/>
                <w:color w:val="auto"/>
              </w:rPr>
            </w:pPr>
          </w:p>
        </w:tc>
      </w:tr>
      <w:tr>
        <w:trPr>
          <w:trHeight w:val="172"/>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GAS-eleven Ltd.</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2012</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1"/>
              </w:rPr>
              <w:t>GasLog Greece</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6"/>
              </w:rPr>
              <w:t>March 2016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8"/>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capacity</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Cubic</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Place of</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meters</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1"/>
        </w:trPr>
        <w:tc>
          <w:tcPr>
            <w:tcW w:w="18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activities</w:t>
            </w:r>
          </w:p>
        </w:tc>
        <w:tc>
          <w:tcPr>
            <w:tcW w:w="1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("cbm")</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6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Delivery date</w:t>
            </w:r>
          </w:p>
        </w:tc>
      </w:tr>
      <w:tr>
        <w:trPr>
          <w:trHeight w:val="20"/>
        </w:trPr>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42"/>
        </w:trPr>
        <w:tc>
          <w:tcPr>
            <w:tcW w:w="18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GAS-twelve Ltd.</w:t>
            </w: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December 2012</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174,000</w:t>
            </w:r>
          </w:p>
        </w:tc>
        <w:tc>
          <w:tcPr>
            <w:tcW w:w="16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i w:val="1"/>
                <w:iCs w:val="1"/>
                <w:color w:val="auto"/>
                <w:w w:val="94"/>
              </w:rPr>
              <w:t>GasLog Glasgow</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8"/>
              </w:rPr>
              <w:t>June 2016</w:t>
            </w:r>
          </w:p>
        </w:tc>
      </w:tr>
      <w:tr>
        <w:trPr>
          <w:trHeight w:val="148"/>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GAS-thirteen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July 2013</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600" w:type="dxa"/>
            <w:vAlign w:val="bottom"/>
          </w:tcPr>
          <w:p>
            <w:pPr>
              <w:jc w:val="center"/>
              <w:spacing w:after="0"/>
              <w:rPr>
                <w:sz w:val="20"/>
                <w:szCs w:val="20"/>
                <w:color w:val="auto"/>
              </w:rPr>
            </w:pPr>
            <w:r>
              <w:rPr>
                <w:rFonts w:ascii="Arial" w:cs="Arial" w:eastAsia="Arial" w:hAnsi="Arial"/>
                <w:sz w:val="13"/>
                <w:szCs w:val="13"/>
                <w:i w:val="1"/>
                <w:iCs w:val="1"/>
                <w:color w:val="auto"/>
                <w:w w:val="92"/>
              </w:rPr>
              <w:t>GasLog Geneva</w:t>
            </w:r>
          </w:p>
        </w:tc>
        <w:tc>
          <w:tcPr>
            <w:tcW w:w="1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3"/>
              </w:rPr>
              <w:t>September 2016</w:t>
            </w: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GAS-fourteen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2013</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8"/>
              </w:rPr>
              <w:t>GasLog Gibraltar</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October 2016</w:t>
            </w:r>
          </w:p>
        </w:tc>
      </w:tr>
      <w:tr>
        <w:trPr>
          <w:trHeight w:val="149"/>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GAS-sixteen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tcPr>
          <w:p>
            <w:pPr>
              <w:jc w:val="center"/>
              <w:spacing w:after="0"/>
              <w:rPr>
                <w:sz w:val="20"/>
                <w:szCs w:val="20"/>
                <w:color w:val="auto"/>
              </w:rPr>
            </w:pPr>
            <w:r>
              <w:rPr>
                <w:rFonts w:ascii="Arial" w:cs="Arial" w:eastAsia="Arial" w:hAnsi="Arial"/>
                <w:sz w:val="13"/>
                <w:szCs w:val="13"/>
                <w:i w:val="1"/>
                <w:iCs w:val="1"/>
                <w:color w:val="auto"/>
                <w:w w:val="94"/>
              </w:rPr>
              <w:t>Methane Rita Andrea</w:t>
            </w:r>
          </w:p>
        </w:tc>
        <w:tc>
          <w:tcPr>
            <w:tcW w:w="1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April 2014</w:t>
            </w: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GAS-seventeen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Jane Elizabeth</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r>
      <w:tr>
        <w:trPr>
          <w:trHeight w:val="148"/>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GAS-nineteen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tcPr>
          <w:p>
            <w:pPr>
              <w:jc w:val="center"/>
              <w:spacing w:after="0"/>
              <w:rPr>
                <w:sz w:val="20"/>
                <w:szCs w:val="20"/>
                <w:color w:val="auto"/>
              </w:rPr>
            </w:pPr>
            <w:r>
              <w:rPr>
                <w:rFonts w:ascii="Arial" w:cs="Arial" w:eastAsia="Arial" w:hAnsi="Arial"/>
                <w:sz w:val="13"/>
                <w:szCs w:val="13"/>
                <w:i w:val="1"/>
                <w:iCs w:val="1"/>
                <w:color w:val="auto"/>
                <w:w w:val="96"/>
              </w:rPr>
              <w:t>Methane Alison Victoria</w:t>
            </w:r>
          </w:p>
        </w:tc>
        <w:tc>
          <w:tcPr>
            <w:tcW w:w="1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GAS-twenty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Shirley Elisabeth</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00" w:type="dxa"/>
            <w:vAlign w:val="bottom"/>
            <w:gridSpan w:val="3"/>
          </w:tcPr>
          <w:p>
            <w:pPr>
              <w:ind w:left="20"/>
              <w:spacing w:after="0"/>
              <w:rPr>
                <w:sz w:val="20"/>
                <w:szCs w:val="20"/>
                <w:color w:val="auto"/>
              </w:rPr>
            </w:pPr>
            <w:r>
              <w:rPr>
                <w:rFonts w:ascii="Arial" w:cs="Arial" w:eastAsia="Arial" w:hAnsi="Arial"/>
                <w:sz w:val="13"/>
                <w:szCs w:val="13"/>
                <w:color w:val="auto"/>
              </w:rPr>
              <w:t>GAS-twenty one Ltd.</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tcPr>
          <w:p>
            <w:pPr>
              <w:jc w:val="center"/>
              <w:spacing w:after="0"/>
              <w:rPr>
                <w:sz w:val="20"/>
                <w:szCs w:val="20"/>
                <w:color w:val="auto"/>
              </w:rPr>
            </w:pPr>
            <w:r>
              <w:rPr>
                <w:rFonts w:ascii="Arial" w:cs="Arial" w:eastAsia="Arial" w:hAnsi="Arial"/>
                <w:sz w:val="13"/>
                <w:szCs w:val="13"/>
                <w:i w:val="1"/>
                <w:iCs w:val="1"/>
                <w:color w:val="auto"/>
                <w:w w:val="95"/>
              </w:rPr>
              <w:t>Methane Heather Sally</w:t>
            </w:r>
          </w:p>
        </w:tc>
        <w:tc>
          <w:tcPr>
            <w:tcW w:w="16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GAS-twenty seven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2015</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170,000</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Becki Anne</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2015</w:t>
            </w:r>
          </w:p>
        </w:tc>
      </w:tr>
      <w:tr>
        <w:trPr>
          <w:trHeight w:val="149"/>
        </w:trPr>
        <w:tc>
          <w:tcPr>
            <w:tcW w:w="1800" w:type="dxa"/>
            <w:vAlign w:val="bottom"/>
            <w:gridSpan w:val="3"/>
          </w:tcPr>
          <w:p>
            <w:pPr>
              <w:ind w:left="20"/>
              <w:spacing w:after="0"/>
              <w:rPr>
                <w:sz w:val="20"/>
                <w:szCs w:val="20"/>
                <w:color w:val="auto"/>
              </w:rPr>
            </w:pPr>
            <w:r>
              <w:rPr>
                <w:rFonts w:ascii="Arial" w:cs="Arial" w:eastAsia="Arial" w:hAnsi="Arial"/>
                <w:sz w:val="13"/>
                <w:szCs w:val="13"/>
                <w:b w:val="1"/>
                <w:bCs w:val="1"/>
                <w:color w:val="auto"/>
              </w:rPr>
              <w:t>25% interest associate:</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Egypt LNG Shipping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Bermuda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2010</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Nile Eagle</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2007</w:t>
            </w:r>
          </w:p>
        </w:tc>
      </w:tr>
      <w:tr>
        <w:trPr>
          <w:trHeight w:val="148"/>
        </w:trPr>
        <w:tc>
          <w:tcPr>
            <w:tcW w:w="1800" w:type="dxa"/>
            <w:vAlign w:val="bottom"/>
            <w:gridSpan w:val="3"/>
          </w:tcPr>
          <w:p>
            <w:pPr>
              <w:ind w:left="20"/>
              <w:spacing w:after="0"/>
              <w:rPr>
                <w:sz w:val="20"/>
                <w:szCs w:val="20"/>
                <w:color w:val="auto"/>
              </w:rPr>
            </w:pPr>
            <w:r>
              <w:rPr>
                <w:rFonts w:ascii="Arial" w:cs="Arial" w:eastAsia="Arial" w:hAnsi="Arial"/>
                <w:sz w:val="13"/>
                <w:szCs w:val="13"/>
                <w:b w:val="1"/>
                <w:bCs w:val="1"/>
                <w:color w:val="auto"/>
              </w:rPr>
              <w:t>20% interest associate:</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Gastrade S.A. ("Gastrade")</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Greece</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2010</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 company</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08"/>
        </w:trPr>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For newbuildings, expected delivery quarters as of December 31, 2020 are presented.</w:t>
      </w:r>
    </w:p>
    <w:p>
      <w:pPr>
        <w:spacing w:after="0" w:line="134" w:lineRule="exact"/>
        <w:rPr>
          <w:rFonts w:ascii="Arial" w:cs="Arial" w:eastAsia="Arial" w:hAnsi="Arial"/>
          <w:sz w:val="13"/>
          <w:szCs w:val="13"/>
          <w:color w:val="auto"/>
        </w:rPr>
      </w:pPr>
    </w:p>
    <w:p>
      <w:pPr>
        <w:ind w:left="1680" w:right="180" w:hanging="549"/>
        <w:spacing w:after="0" w:line="274" w:lineRule="auto"/>
        <w:tabs>
          <w:tab w:leader="none" w:pos="16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 xml:space="preserve">In June 2019, the newbuilding </w:t>
      </w:r>
      <w:r>
        <w:rPr>
          <w:rFonts w:ascii="Arial" w:cs="Arial" w:eastAsia="Arial" w:hAnsi="Arial"/>
          <w:sz w:val="13"/>
          <w:szCs w:val="13"/>
          <w:i w:val="1"/>
          <w:iCs w:val="1"/>
          <w:color w:val="auto"/>
        </w:rPr>
        <w:t>GasLog Warsaw</w:t>
      </w:r>
      <w:r>
        <w:rPr>
          <w:rFonts w:ascii="Arial" w:cs="Arial" w:eastAsia="Arial" w:hAnsi="Arial"/>
          <w:sz w:val="13"/>
          <w:szCs w:val="13"/>
          <w:color w:val="auto"/>
        </w:rPr>
        <w:t>, delivered on July 31, 2019, was transferred from GAS-twenty nine Ltd. to the subsidiary GasLog Hellas-1 Special Maritime Enterprise.</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6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entities in the Group have a December 31st year end. During 2020, the Group employed an average of 176 employees (2019: 163 and 2018: 172).</w:t>
      </w:r>
    </w:p>
    <w:p>
      <w:pPr>
        <w:spacing w:after="0" w:line="248"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GasLog's common shares are traded on the New York Stock Exchange ("NYSE") under the ticker symbol "GLOG". GasLog's 8.75% Series A Cumulative Redeemable Perpetual Preference Shares ("Preference Shares") are traded on the NYSE under the ticker symbol "GLOG PR 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consolidated financial statements of GasLog and its subsidiaries have been prepared in accordance with International Financial Reporting Standards (the "IFRS") as issued by the International Accounting Standards Board (the "IASB").</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approval</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consolidated financial statements have been prepared on the historical cost basis, except for the revaluation of derivative financial instruments that are measured at fair values at the end of each reporting period, as explained in the accounting policies below. Historical cost is generally based on the fair value of the consideration given in exchange for goods and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incorporating the negative impact of the COVID-19 pandemic on near-term market rates. As of December 31, 2020, the Group's current assets totaled $437,534, while current liabilities totaled $459,349, resulting in a negative working capital position of $21,815. Current liabilities include $59,612 of unearned revenue in relation to hires received in advance of December 31, 2020 (which represents a non-cash liability that will be recognized as revenue in January as the services are rendered).</w:t>
      </w:r>
    </w:p>
    <w:p>
      <w:pPr>
        <w:spacing w:after="0" w:line="201"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the volatile commercial and financial market conditions experienced throughout 2020, management anticipates that our primary sources of funds over the next twelve months will be available cash, cash from operations and existing borrowings, including the credit agreements entered into on</w:t>
      </w:r>
    </w:p>
    <w:p>
      <w:pPr>
        <w:spacing w:after="0" w:line="3"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July 16, 2020 and July 30, 2020, which refinanced in full the debt maturities due in 2021, as well as the sale and leaseback transactions we concluded in October 2020 and January 2021 that released incremental liquidity of $61,224. Management believes that these anticipated sources of funds will be sufficient for the Company to meet its liquidity needs and to comply with its banking covenants for at least twelve months from the date of this report and therefore it is appropriate to prepare the financial statements on a going concern basis. Additionally, the Company may enter into new debt facilities in the future, as well as equity or debt instruments, although there can be no assurance that the Company will be able to obtain additional debt or equity financing on terms acceptable to the Company, which will also depend on financial, commercial and other factors, as well as a significant recovery in capital market conditions and a sustainable improvement of the LNG charter market, that are beyond the Company's control. The Company's long-term ability to repay its debts and maintain compliance with its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 Finally, our 8.875% senior unsecured notes due in 2022 (the "8.875% Senior Notes") will mature on March 22, 2022 (Note 13), which we plan to refinance in due course.</w:t>
      </w:r>
    </w:p>
    <w:p>
      <w:pPr>
        <w:spacing w:after="0" w:line="163"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5, 2021, the financial statements were authorized on behalf of GasLog's board of directors for issuance and filing.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 Control is achieved where GasLog:</w:t>
      </w:r>
    </w:p>
    <w:p>
      <w:pPr>
        <w:spacing w:after="0" w:line="19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has the ability to use its power to affect its returns.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intra-group transactions, balances, income and expenses are eliminated in full on consolidation.</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 such subsidiaries. Total comprehensive income is attributed to a non-controlling interest even if this results in the non-controlling interest having a deficit balance.</w:t>
      </w:r>
    </w:p>
    <w:p>
      <w:pPr>
        <w:spacing w:after="0" w:line="20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profit or loss on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associates</w:t>
      </w:r>
    </w:p>
    <w:p>
      <w:pPr>
        <w:spacing w:after="0" w:line="225" w:lineRule="exact"/>
        <w:rPr>
          <w:sz w:val="20"/>
          <w:szCs w:val="20"/>
          <w:color w:val="auto"/>
        </w:rPr>
      </w:pPr>
    </w:p>
    <w:p>
      <w:pPr>
        <w:ind w:right="480" w:firstLine="341"/>
        <w:spacing w:after="0" w:line="331" w:lineRule="auto"/>
        <w:rPr>
          <w:sz w:val="20"/>
          <w:szCs w:val="20"/>
          <w:color w:val="auto"/>
        </w:rPr>
      </w:pPr>
      <w:r>
        <w:rPr>
          <w:rFonts w:ascii="Arial" w:cs="Arial" w:eastAsia="Arial" w:hAnsi="Arial"/>
          <w:sz w:val="16"/>
          <w:szCs w:val="16"/>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4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An impairment assessment of investments in associates is performed when there is an indication that the asset has been impaired or the impairment losses recognized in prior years no longer exist.</w:t>
      </w:r>
    </w:p>
    <w:p>
      <w:pPr>
        <w:spacing w:after="0" w:line="197"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225" w:lineRule="exact"/>
        <w:rPr>
          <w:sz w:val="20"/>
          <w:szCs w:val="20"/>
          <w:color w:val="auto"/>
        </w:rPr>
      </w:pPr>
    </w:p>
    <w:p>
      <w:pPr>
        <w:ind w:right="20" w:firstLine="341"/>
        <w:spacing w:after="0" w:line="331" w:lineRule="auto"/>
        <w:rPr>
          <w:sz w:val="20"/>
          <w:szCs w:val="20"/>
          <w:color w:val="auto"/>
        </w:rPr>
      </w:pPr>
      <w:r>
        <w:rPr>
          <w:rFonts w:ascii="Arial" w:cs="Arial" w:eastAsia="Arial" w:hAnsi="Arial"/>
          <w:sz w:val="16"/>
          <w:szCs w:val="16"/>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14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Under IFRS 11 </w:t>
      </w:r>
      <w:r>
        <w:rPr>
          <w:rFonts w:ascii="Arial" w:cs="Arial" w:eastAsia="Arial" w:hAnsi="Arial"/>
          <w:sz w:val="16"/>
          <w:szCs w:val="16"/>
          <w:i w:val="1"/>
          <w:iCs w:val="1"/>
          <w:color w:val="auto"/>
        </w:rPr>
        <w:t>Joint Arrangements,</w:t>
      </w:r>
      <w:r>
        <w:rPr>
          <w:rFonts w:ascii="Arial" w:cs="Arial" w:eastAsia="Arial" w:hAnsi="Arial"/>
          <w:sz w:val="16"/>
          <w:szCs w:val="16"/>
          <w:color w:val="auto"/>
        </w:rPr>
        <w:t xml:space="preserve"> investments in joint arrangements are classified as either joint operations or joint ventures. The classification depends on the contractual rights and 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was a joint venture until June 2019 when a termination agreement was entered between GasLog and the Cool Pool. Interests in joint ventures are accounted for using the equity method (see Investment in associates above), after initially being recognized at cost in the consolidated statement of financial position.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Lease income from operating leases of vessels where the Group is a lessor is recognized in profit or loss on a straight-line basis over the lease term. The respective leased assets are included in the statement of financial position based on their nature under "Tangible fixed assets". The Group did not need to make any adjustments to the accounting for assets held as lessor as a result of adopting the new leasing standard.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Group has changed its accounting policy for leases where the Group is the lessee. The new policy and the impact of the change are discussed below.</w:t>
      </w:r>
    </w:p>
    <w:p>
      <w:pPr>
        <w:spacing w:after="0" w:line="26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Until December 31, 2018, leases of property, plant and equipment (i.e. vessels) where the Group, as lessee, had substantially all the risks and rewards of ownership were classified as finance leases. Finance leases were capitalized at the lease's inception at the fair value of the leased property or, if lower, the present value of the minimum lease payments, discounted at the interest rate implicit in the lease, if practicable, or else at the Group's incremental borrowing rate. The corresponding rental obligations, net of finance charges, were included in current and non-current liabilities as finance lease liabilities. Each lease payment was allocated between the liability and finance cost. The finance cost was charged to profit or loss over the lease period so as to produce a constant periodic rate of interest on the remaining balance of the liability for each period. The property, plant and equipment acquired under finance leases was depreciated over the asset's useful life or over the shorter of the asset's useful life and the lease term if there was no reasonable certainty that the Group would obtain ownership at the end of the lease term. In addition, leases in which a significant portion of the risks and rewards of ownership were not transferred to the Group as lessee were classified as operating leases (i.e. vessels' equipment, properties and other). Payments made under operating leases (net of any incentives received from the lessor) were charged to profit or loss on a straight-line basis over the period of the lease.</w:t>
      </w:r>
    </w:p>
    <w:p>
      <w:pPr>
        <w:spacing w:after="0" w:line="17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From January 1, 2019 and onwards, each of the above leases is recognized as a right-of-use asset, with a corresponding liability recognized at the date at which the leased asset is available for use by the Group. The Group is a lessee under a vessel sale and leaseback arrangement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leases are recognized as a right-of-use asset and a corresponding liability at the date at which the leased asset is available for use by the Group. The corresponding rental obligations, net of finance charges, are included in current and non-current liabilities as lease liabilities. Each lease payment is allocated between the liability and finance cost. The lease liability is subsequently measured by increasing the carrying amount to reflect interest on the lease liability (using the effective interest rate method) and by reducing the carrying amount to reflect lease payment made.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76"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 (a) fixed payments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which is the Group's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The right-of-use asset is depreciated over its useful life or over the shorter of its useful life and the lease term if there is no reasonable certainty that the Group will obtain ownership at the end of the lease term. Payments associated with short-term leases and leases of low-value assets are recognized on a straight-line basis as an expense in profit or loss. Short-term leases are leases with a lease term of 12 months or less. Low-value items comprise of low value vessel or office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and presentation of government grants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Government grants relating to costs are deferred and recognized in the profit or loss over the period necessary to match them with the costs that they are intended to compensate. Government grants relating to income are included in non-current liabilities as deferred income and are credited to profit or loss on a straight-line basis as costs are incurred over the duration of the specific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Group's revenues comprise revenues from time charters for the charter hire of its vessels, gross pool revenues (until July 2019), management fees, project supervision income and other income earned during the period in accordance with existing contracts.</w:t>
      </w:r>
    </w:p>
    <w:p>
      <w:pPr>
        <w:spacing w:after="0" w:line="186"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9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IFRS 16 </w:t>
      </w:r>
      <w:r>
        <w:rPr>
          <w:rFonts w:ascii="Arial" w:cs="Arial" w:eastAsia="Arial" w:hAnsi="Arial"/>
          <w:sz w:val="16"/>
          <w:szCs w:val="16"/>
          <w:i w:val="1"/>
          <w:iCs w:val="1"/>
          <w:color w:val="auto"/>
        </w:rPr>
        <w:t>Leases</w:t>
      </w:r>
      <w:r>
        <w:rPr>
          <w:rFonts w:ascii="Arial" w:cs="Arial" w:eastAsia="Arial" w:hAnsi="Arial"/>
          <w:sz w:val="16"/>
          <w:szCs w:val="16"/>
          <w:color w:val="auto"/>
        </w:rPr>
        <w:t>.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therefore, these costs are accounted for in accordance with the requirements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Pool revenues were recognized on a gross basis representing time charter revenues earned by GasLog vessels participating in the pool under charter agreements where GasLog contracts directly with charterers. Revenues were recognized on a monthly basis, when the vessel is made available and services are provided to the charterer during the period, the amount can be estimated reliably and collection of the related revenue is reasonably assured.</w:t>
      </w:r>
    </w:p>
    <w:p>
      <w:pPr>
        <w:spacing w:after="0" w:line="16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relation to the vessels' participation in the Cool Pool (until July 2019),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recognized on an accrual basis. Dividend income is recognized when the right to receive payment is established.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other borrowing costs and realized loss on CCSs are recognized on an accrual basis.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and bonds are classified in Financial costs, while all other foreign exchange differences are classified in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for undrawn facilities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94"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Vessels under construction are presented at cost less identified impairment losses, if any. Costs include shipyard installment payments and other vessel costs incurred during the construction period that are directly attributable to the acquisition or construction of the vessels.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construction, the vessels are presented on the statement of financial position in accordance with the "Tangible fixed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policy as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Property, plant and equipment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 vessels, after deducting the estimated costs of disposal, if the vessels were already of the age and in the condition expected at the end of their useful life.</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of all long-lived assets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940" w:type="dxa"/>
            <w:vAlign w:val="bottom"/>
            <w:gridSpan w:val="2"/>
          </w:tcPr>
          <w:p>
            <w:pPr>
              <w:ind w:left="20"/>
              <w:spacing w:after="0"/>
              <w:rPr>
                <w:sz w:val="20"/>
                <w:szCs w:val="20"/>
                <w:color w:val="auto"/>
              </w:rPr>
            </w:pPr>
            <w:r>
              <w:rPr>
                <w:rFonts w:ascii="Arial" w:cs="Arial" w:eastAsia="Arial" w:hAnsi="Arial"/>
                <w:sz w:val="13"/>
                <w:szCs w:val="13"/>
                <w:b w:val="1"/>
                <w:bCs w:val="1"/>
                <w:color w:val="auto"/>
              </w:rPr>
              <w:t>Vessel</w:t>
            </w:r>
          </w:p>
        </w:tc>
        <w:tc>
          <w:tcPr>
            <w:tcW w:w="4040" w:type="dxa"/>
            <w:vAlign w:val="bottom"/>
          </w:tcPr>
          <w:p>
            <w:pPr>
              <w:spacing w:after="0"/>
              <w:rPr>
                <w:sz w:val="14"/>
                <w:szCs w:val="1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LNG vessel component</w:t>
            </w:r>
          </w:p>
        </w:tc>
        <w:tc>
          <w:tcPr>
            <w:tcW w:w="4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35 years</w:t>
            </w: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Dry-docking component</w:t>
            </w:r>
          </w:p>
        </w:tc>
        <w:tc>
          <w:tcPr>
            <w:tcW w:w="4040" w:type="dxa"/>
            <w:vAlign w:val="bottom"/>
          </w:tcPr>
          <w:p>
            <w:pPr>
              <w:ind w:left="900"/>
              <w:spacing w:after="0"/>
              <w:rPr>
                <w:sz w:val="20"/>
                <w:szCs w:val="20"/>
                <w:color w:val="auto"/>
              </w:rPr>
            </w:pPr>
            <w:r>
              <w:rPr>
                <w:rFonts w:ascii="Arial" w:cs="Arial" w:eastAsia="Arial" w:hAnsi="Arial"/>
                <w:sz w:val="18"/>
                <w:szCs w:val="18"/>
                <w:color w:val="auto"/>
              </w:rPr>
              <w:t>5 years</w:t>
            </w: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computer, software and other office equipment</w:t>
            </w:r>
          </w:p>
        </w:tc>
        <w:tc>
          <w:tcPr>
            <w:tcW w:w="4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3 - 5 years</w:t>
            </w:r>
          </w:p>
        </w:tc>
      </w:tr>
      <w:tr>
        <w:trPr>
          <w:trHeight w:val="222"/>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4040" w:type="dxa"/>
            <w:vAlign w:val="bottom"/>
          </w:tcPr>
          <w:p>
            <w:pPr>
              <w:ind w:left="900"/>
              <w:spacing w:after="0"/>
              <w:rPr>
                <w:sz w:val="20"/>
                <w:szCs w:val="20"/>
                <w:color w:val="auto"/>
              </w:rPr>
            </w:pPr>
            <w:r>
              <w:rPr>
                <w:rFonts w:ascii="Arial" w:cs="Arial" w:eastAsia="Arial" w:hAnsi="Arial"/>
                <w:sz w:val="18"/>
                <w:szCs w:val="18"/>
                <w:color w:val="auto"/>
                <w:w w:val="95"/>
              </w:rPr>
              <w:t>12 years (or remaining term of the lease)</w:t>
            </w:r>
          </w:p>
        </w:tc>
      </w:tr>
    </w:tbl>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profit or loss in the period of the change and future periods.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Management estimates residual value of its vessels to be equal to the product of its lightweight tonnage ("LWT") and an estimated scrap rate per LWT.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estimated residual value of the vessels may not represent the fair market value at any time partly because market prices of scrap values tend to fluctuate.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Group might revise the estimate of the residual values of the vessels in the future in response to changing market conditions.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assets are sold, they are derecognized and any gain or loss resulting from their disposal is included in profit or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tangible fixed assets, vessels under construction and vessel held under finance lease renamed to right-of-use assets</w:t>
      </w:r>
    </w:p>
    <w:p>
      <w:pPr>
        <w:spacing w:after="0" w:line="24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Inventories represent lubricants on board the vessel and, in the event of a vessel not being employed under a charter, the bunkers on board the vessel.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calculated on a first in, first out basis, and net realizable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180" w:firstLine="351"/>
        <w:spacing w:after="0" w:line="369" w:lineRule="auto"/>
        <w:rPr>
          <w:sz w:val="20"/>
          <w:szCs w:val="20"/>
          <w:color w:val="auto"/>
        </w:rPr>
      </w:pPr>
      <w:r>
        <w:rPr>
          <w:rFonts w:ascii="Arial" w:cs="Arial" w:eastAsia="Arial" w:hAnsi="Arial"/>
          <w:sz w:val="15"/>
          <w:szCs w:val="15"/>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(other than financial assets and financial liabilities at fair value through profit or loss) are added to or deducted from the fair value of the financial assets or financial liabilities, as appropriate, on initial recognition.</w:t>
      </w:r>
    </w:p>
    <w:p>
      <w:pPr>
        <w:spacing w:after="0" w:line="193"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540" w:right="420"/>
        <w:spacing w:after="0" w:line="331" w:lineRule="auto"/>
        <w:rPr>
          <w:sz w:val="20"/>
          <w:szCs w:val="20"/>
          <w:color w:val="auto"/>
        </w:rPr>
      </w:pPr>
      <w:r>
        <w:rPr>
          <w:rFonts w:ascii="Arial" w:cs="Arial" w:eastAsia="Arial" w:hAnsi="Arial"/>
          <w:sz w:val="16"/>
          <w:szCs w:val="16"/>
          <w:color w:val="auto"/>
        </w:rPr>
        <w:t>Restricted cash comprises cash held that is not available for use by the Group including cash held in blocked accounts in order to comply with the covenants under the Group's credit facilities and amounts held as guarantees as part of stand-by letters of credit.</w:t>
      </w:r>
    </w:p>
    <w:p>
      <w:pPr>
        <w:spacing w:after="0" w:line="148"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20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51" w:lineRule="exact"/>
        <w:rPr>
          <w:sz w:val="20"/>
          <w:szCs w:val="20"/>
          <w:color w:val="auto"/>
        </w:rPr>
      </w:pPr>
    </w:p>
    <w:p>
      <w:pPr>
        <w:ind w:left="540" w:right="780"/>
        <w:spacing w:after="0" w:line="268" w:lineRule="auto"/>
        <w:rPr>
          <w:sz w:val="20"/>
          <w:szCs w:val="20"/>
          <w:color w:val="auto"/>
        </w:rPr>
      </w:pPr>
      <w:r>
        <w:rPr>
          <w:rFonts w:ascii="Arial" w:cs="Arial" w:eastAsia="Arial" w:hAnsi="Arial"/>
          <w:sz w:val="18"/>
          <w:szCs w:val="18"/>
          <w:color w:val="auto"/>
        </w:rPr>
        <w:t>The simplified approach is applied to trade and other receivables and the Group recognizes lifetime expected credit losses ("ECLs") on trade receivables. Under the simplified approach, the loss allowance is always equal to ECLs.</w:t>
      </w:r>
    </w:p>
    <w:p>
      <w:pPr>
        <w:spacing w:after="0" w:line="207"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statement of profit or loss over the term of the borrowings.</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reporting period.</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Borrowings also include arrangements such as sale and leaseback transactions with a right or obligation to repurchase the asset. The Group continues to recognize the asset and a financial liability for the amount of the consideration received from the customer.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186"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6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 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7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 hedges that qualify for hedge accounting</w:t>
      </w:r>
    </w:p>
    <w:p>
      <w:pPr>
        <w:spacing w:after="0" w:line="225" w:lineRule="exact"/>
        <w:rPr>
          <w:sz w:val="20"/>
          <w:szCs w:val="20"/>
          <w:color w:val="auto"/>
        </w:rPr>
      </w:pPr>
    </w:p>
    <w:p>
      <w:pPr>
        <w:ind w:left="540" w:right="200"/>
        <w:spacing w:after="0" w:line="254"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w:t>
      </w:r>
    </w:p>
    <w:p>
      <w:pPr>
        <w:spacing w:after="0" w:line="198"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 xml:space="preserve">In accordance with the transition provisions, the Group has adopted the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IFRS 7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Disclosures which provide certain reliefs in connection with interest rate benchmark reform</w:t>
      </w:r>
      <w:r>
        <w:rPr>
          <w:rFonts w:ascii="Arial" w:cs="Arial" w:eastAsia="Arial" w:hAnsi="Arial"/>
          <w:sz w:val="16"/>
          <w:szCs w:val="16"/>
          <w:color w:val="auto"/>
        </w:rPr>
        <w:t>, retrospectively to hedging relationships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existed at the start of the reporting period or were designated thereafter. The amendments provide temporary relief from applying specific hedge accounting requirements to hedging relationships directly affected by interbank offered rate ("IBOR") reform. The reliefs have the effect that IBOR reform should not generally cause hedge accounting to terminate. However, any hedge ineffectiveness should continue to be recorded in the income statement. The reliefs will cease to apply when the uncertainty arising from interest rate benchmark reform is no longer present. The Group uses CCSs in order to hedge the Group's exposure to fluctuations deriving from its bonds (Note 26). The amendments permit continuation of hedge accounting even though there is uncertainty about the replacement of the floating interest rates included in its CCSs (Note 24).</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Derivatives that do not qualify for hedge accounting</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Certain derivative instruments do not qualify for hedge accounting. Changes in the fair value of any derivative instrument that does not qualify for hedge accounting are recognized immediately in the consolidated statement of profit or loss.</w:t>
      </w:r>
    </w:p>
    <w:p>
      <w:pPr>
        <w:spacing w:after="0" w:line="193"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Lease liabilities</w:t>
      </w:r>
    </w:p>
    <w:p>
      <w:pPr>
        <w:spacing w:after="0" w:line="231" w:lineRule="exact"/>
        <w:rPr>
          <w:sz w:val="20"/>
          <w:szCs w:val="20"/>
          <w:color w:val="auto"/>
        </w:rPr>
      </w:pPr>
    </w:p>
    <w:p>
      <w:pPr>
        <w:ind w:left="540" w:right="280"/>
        <w:spacing w:after="0" w:line="256" w:lineRule="auto"/>
        <w:rPr>
          <w:sz w:val="20"/>
          <w:szCs w:val="20"/>
          <w:color w:val="auto"/>
        </w:rPr>
      </w:pPr>
      <w:r>
        <w:rPr>
          <w:rFonts w:ascii="Arial" w:cs="Arial" w:eastAsia="Arial" w:hAnsi="Arial"/>
          <w:sz w:val="18"/>
          <w:szCs w:val="18"/>
          <w:color w:val="auto"/>
        </w:rPr>
        <w:t>Lease liabilities are initially measured at the fair value of the leased property or, if lower, the present value of the minimum lease payments— discounted at the interest rate implicit in the lease, if practicable, or else at the Group's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Share-based compensation to employees and others providing similar services are measured at the fair value of the equity instruments on the grant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22.</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 profit or loss such that the cumulative expense reflects the revised estimate, with a corresponding adjustment to the share-based compensation reserve.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Group recognizes costs for a restructuring that is within the scope of IAS 37 </w:t>
      </w:r>
      <w:r>
        <w:rPr>
          <w:rFonts w:ascii="Arial" w:cs="Arial" w:eastAsia="Arial" w:hAnsi="Arial"/>
          <w:sz w:val="18"/>
          <w:szCs w:val="18"/>
          <w:i w:val="1"/>
          <w:iCs w:val="1"/>
          <w:color w:val="auto"/>
        </w:rPr>
        <w:t>Provisions, Contingent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and Contingent Assets </w:t>
      </w:r>
      <w:r>
        <w:rPr>
          <w:rFonts w:ascii="Arial" w:cs="Arial" w:eastAsia="Arial" w:hAnsi="Arial"/>
          <w:sz w:val="18"/>
          <w:szCs w:val="18"/>
          <w:color w:val="auto"/>
        </w:rPr>
        <w:t>and involves the payment of termination benefits. In the case of an offer made to encourage voluntary redundancy,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benefits are measured based on the number of employees expected to accept the offer. Benefits falling due more than 12 months after the end of the reporting period are discounted to present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Classification of the non-controlling interests: </w:t>
      </w:r>
      <w:r>
        <w:rPr>
          <w:rFonts w:ascii="Arial" w:cs="Arial" w:eastAsia="Arial" w:hAnsi="Arial"/>
          <w:sz w:val="16"/>
          <w:szCs w:val="16"/>
          <w:color w:val="auto"/>
        </w:rPr>
        <w:t>The non-controlling interests in the Partnership comprise the portion of the Partnership's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not directly or indirectly held by GasLog (32,726,222 units as of December 31, 2020).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Group evaluates the carrying amounts of each of its vessels to determine whether there is any indication that those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suffered an impairment loss by considering both internal and external sources of information. If any such indication exists, the recoverable amount of vessels is estimated in order to determine the extent of the impairment loss, if any. The total carrying amount of the Group's vessels as of December 31, 2020, was $5,001,174 (December 31, 2019: $4,407,156).</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The Group's estimates of recoverable value assume that the vessels are all in seaworthy condition without need for repair and certified in class without notations of any kind. In assessing the fair value less cost to sell of the vessel, the Group obtains charter free market values for each vessel from independent and internationally recognized ship brokers on a semi-annual basis, which are also commonly used and accepted by the Group's lenders for determining compliance with the relevant covenants in its credit facilities. Vessel values can be highly volatile, so the charter-free market values may not be indicative of the current or future market value of the Group's vessels or prices that could be achieved if it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discounted cash flows related to vessels is complex and requires management to make various estimates including future charter rates, vessel operating expenses and the discount rate.</w:t>
      </w:r>
    </w:p>
    <w:p>
      <w:pPr>
        <w:spacing w:after="0" w:line="173"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 xml:space="preserve">As of June 30, 2020 and December 31, 2020, the carrying amounts of each of the six steam turbine propulsion ("Steam") vessels (the </w:t>
      </w:r>
      <w:r>
        <w:rPr>
          <w:rFonts w:ascii="Arial" w:cs="Arial" w:eastAsia="Arial" w:hAnsi="Arial"/>
          <w:sz w:val="16"/>
          <w:szCs w:val="16"/>
          <w:i w:val="1"/>
          <w:iCs w:val="1"/>
          <w:color w:val="auto"/>
        </w:rPr>
        <w:t>Methane Rita</w:t>
      </w:r>
      <w:r>
        <w:rPr>
          <w:rFonts w:ascii="Arial" w:cs="Arial" w:eastAsia="Arial" w:hAnsi="Arial"/>
          <w:sz w:val="16"/>
          <w:szCs w:val="16"/>
          <w:color w:val="auto"/>
        </w:rPr>
        <w:t xml:space="preserve"> </w:t>
      </w:r>
      <w:r>
        <w:rPr>
          <w:rFonts w:ascii="Arial" w:cs="Arial" w:eastAsia="Arial" w:hAnsi="Arial"/>
          <w:sz w:val="16"/>
          <w:szCs w:val="16"/>
          <w:i w:val="1"/>
          <w:iCs w:val="1"/>
          <w:color w:val="auto"/>
        </w:rPr>
        <w:t>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twelve tri-fuel diesel electric ("TFDE") vessels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Greece,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Glasgow</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Julia Louise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and four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low pressure dual fuel two-stroke propulsion ("X-DF") vessels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were higher than the charter free market values estimated by ship brokers on both dates, while two additional TFDE vessels,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had carrying amounts higher than their estimated charter-free market values as of December 31, 2020 only. The Group concluded that this,</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certain other events and circumstances (as further described in Note 6) indicated the existence of potential impairment of these vessels. As a result, the Group performed an impairment assessment for these vessels 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comparing their values in use, being the discounted projected net operating cash flows for these vessels to their carrying values as of June 30, 2020 and December 31, 2020. The assumptions that the Group used in its discounted projected net operating cash flow analysis included, among others, utilization, operating revenues, voyage expenses and commissions, dry-docking costs, operating expenses (including vessel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20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were based on a combination of (i) recent charter market rates, (ii) conditions existing in the LNG market as of June 30, 2020 and December 31, 2020,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(including the effect of the COVID-19 pandemic) and the latest available maritime research publications from ship brokers for short-term (less than 12 months) employment of a vessel operating in the spot market on less than one-year time charter contracts.</w:t>
      </w:r>
    </w:p>
    <w:p>
      <w:pPr>
        <w:spacing w:after="0" w:line="16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For non-contracted periods starting on the second year for already expired charters or upon the expiration of the firm charter period of a vessel and up to June 30, 2022, the Group used the most recent market rate for a longer-term (3-year) time charter rate based on available data from maritime research publications reflecting management's view of the anticipated extent of the market disruption caused by the COVID-19 pandemic. For non-contracted periods starting on July 1, 2022 for already expired charters or upon the expiration of the firm charter period of a vessel and up to June 30, 2025, the Group used charter rates based on a combination of recent charter market rates for a term (3-year) time charter rate based on available data from maritime research publication, historical average time charter rates and estimated future time charter rates, in order to incorporate the anticipated effect of the gradual stabilization of the LNG shipping market in the post-COVID-19 era. Such rates were lower than prevailing spot rates on each of the assessment dates.</w:t>
      </w:r>
    </w:p>
    <w:p>
      <w:pPr>
        <w:spacing w:after="0" w:line="17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For the remaining period from July 1, 2025 through the end of each vessel's useful life (for non-contracted periods), the estimated average time charter rates for Steam, TFDE and X-DF vessels were based on analysis of future supply and demand for LNG, analysis of future LNG shipping supply and demand balances, internally estimated and market-derived costs of building and financing newbuild LNG vessels, the technical characteristics of each vessel and an assessment of the appropriate discount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Steam and TFDE vessels' charter rates compared to modern newbuild LNG carriers, which is driven largely by unit freight cost differentials and utilization of such vessels.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the Group's control, management believes that the use of the revenue estimates discussed above to be reasonable as of the reporting date. The Group has assumed no inflation 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used an annual operating expenses escalation factor equal to 1% based on its historical data and experience, as well as its expectations of future inflation and operating and dry-docking costs. Estimates for the remaining useful lives of the current fleet and residual and scrap values are the same as those used for the Group's depreciation policy. All estimates used and assumptions made were in accordance with the Group's internal budgets and historical experience of the shipping industry.</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the Group's impairment assessment, the rate used to discount future estimated cash flows to their present values was approximately 5.8% to 6.4% as of December 31, 2020 (6.5% to 7.25% as of December 31, 2019). This was based on an estimated weighted average cost of capital calculated using cost of equity and cost of debt components, adjusted also for vessel-specific risks and uncertainties.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values in use for five of the six Steam vessels calculated as per above were lower than the respective carrying amounts of those vessels and, consequently, an impairment loss of $28,627 was recognized in the year ended December 31, 2020 (Note 6). The values in use for each of the remaining Steam, TFDE and X-DF vessels with indicators of impairment were greater than their respective carrying amounts, and therefore no impairment loss was recognized for these vessels.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impairment testing of our vessels as of December 31, 2020, we performed a sensitivity analysis on the most difficult, subjective or complex assumptions that have the potential to affect the outcome of the impairment assessment, which are the projected charter hire rates used to forecast future cash flows for non-contracted revenue days and the discount rate used, in particular for the Steam vessels (Note 6). It is reasonably possible that changes to these assumptions within the next financial year could require a material adjustment of the carrying amount of the Group's Steam vessels.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At the date of authorization of these consolidated financial statements, there were no IFRS standards and amendments adopted in the current period with a material effect on the Group's financial statements.</w:t>
      </w:r>
    </w:p>
    <w:p>
      <w:pPr>
        <w:spacing w:after="0" w:line="207"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In January 2020, the IASB issued a narrow-scope amendment to IAS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liability with cash, other economic resources or an entity's own equity instruments. The amendment will be effective for annual periods beginning on or after January 1, 2022 and should be applied retrospectively in accordance with IAS 8 Accounting Policies, Changes in Accounting Estimates and Errors. Earlier application is permitted. Management anticipates that this amendment will not have a material impact on the Group's financial statements.</w:t>
      </w:r>
    </w:p>
    <w:p>
      <w:pPr>
        <w:spacing w:after="0" w:line="160" w:lineRule="exact"/>
        <w:rPr>
          <w:sz w:val="20"/>
          <w:szCs w:val="20"/>
          <w:color w:val="auto"/>
        </w:rPr>
      </w:pPr>
    </w:p>
    <w:p>
      <w:pPr>
        <w:ind w:right="420" w:firstLine="351"/>
        <w:spacing w:after="0" w:line="254" w:lineRule="auto"/>
        <w:rPr>
          <w:sz w:val="20"/>
          <w:szCs w:val="20"/>
          <w:color w:val="auto"/>
        </w:rPr>
      </w:pPr>
      <w:r>
        <w:rPr>
          <w:rFonts w:ascii="Arial" w:cs="Arial" w:eastAsia="Arial" w:hAnsi="Arial"/>
          <w:sz w:val="18"/>
          <w:szCs w:val="18"/>
          <w:color w:val="auto"/>
        </w:rPr>
        <w:t xml:space="preserve">In August 2020, the IASB issued the Phase 2 amendments to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IFRS 7 </w:t>
      </w:r>
      <w:r>
        <w:rPr>
          <w:rFonts w:ascii="Arial" w:cs="Arial" w:eastAsia="Arial" w:hAnsi="Arial"/>
          <w:sz w:val="18"/>
          <w:szCs w:val="18"/>
          <w:i w:val="1"/>
          <w:iCs w:val="1"/>
          <w:color w:val="auto"/>
        </w:rPr>
        <w:t>Financial Instruments: Disclosures</w:t>
      </w:r>
      <w:r>
        <w:rPr>
          <w:rFonts w:ascii="Arial" w:cs="Arial" w:eastAsia="Arial" w:hAnsi="Arial"/>
          <w:sz w:val="18"/>
          <w:szCs w:val="18"/>
          <w:color w:val="auto"/>
        </w:rPr>
        <w:t>, IFRS 4 and IFRS 16 in connection with the Phase 2 of the interest rate benchmark reform. The amendments address the issues arising from the implementation of the reforms, including the replacement of one benchmark with an alternative one. The amendment will be effective for annual periods beginning on or after January 1, 2021. Early application is permitted. Management is currently evaluating the impact of this standard on the Group's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2020,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2021 and management forecasts until 2024.</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assumptions used in the value-in-use calculations (2021 and beyond) are as follows:</w:t>
      </w:r>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Average inflation of 1.0% per annum based on historical data and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pre-tax discount rate of 7.2% per annum based on cost of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Annual growth rate of 1.0%;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Euro = USD 1.20 based on the 2021 budget.</w:t>
      </w:r>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offerings</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per preference unit. The net proceeds from the offering, after deducting underwriting discounts, commissions and other offering expenses, were $111,194. The Partnership's Series B Preference Units are listed on the New York Stock Exchange under the symbol "GLOP PR B".</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"GasLog Partners'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On November 15, 2018, GasLog Partners completed a public offering of 4,000,000 8.500% Series C Cumulative Redeemable Perpetual Fixed to Floating Rate Preference Units (the "Partnership's Series C Preference Units"), at a price to the public of $25.00 per preference unit. The net proceeds from the offering, after deducting underwriting discounts, commissions and other offering expenses, were $96,307. The Partnership's Series C Preference Units are listed on the New York Stock Exchange under the symbol "GLOP PR C".</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November 27, 2018, the Partnership Agreement was amended to allow for the substitution of the existing incentive distribution rights (the "Old IDRs") with a new class of incentive distribution rights (the "New IDRs", together with the Old IDRs, the "IDRs") with revised rights to distributions. Pursuant to this amendment, the 48.0% tier of the New IDRs holders was removed, while the definition of the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holder of the Old IDRs.</w:t>
      </w:r>
    </w:p>
    <w:p>
      <w:pPr>
        <w:spacing w:after="0" w:line="169"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Distribution</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Common</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Holders of</w:t>
            </w:r>
          </w:p>
        </w:tc>
      </w:tr>
      <w:tr>
        <w:trPr>
          <w:trHeight w:val="161"/>
        </w:trPr>
        <w:tc>
          <w:tcPr>
            <w:tcW w:w="3960" w:type="dxa"/>
            <w:vAlign w:val="bottom"/>
            <w:gridSpan w:val="2"/>
          </w:tcPr>
          <w:p>
            <w:pPr>
              <w:ind w:left="20"/>
              <w:spacing w:after="0"/>
              <w:rPr>
                <w:sz w:val="20"/>
                <w:szCs w:val="20"/>
                <w:color w:val="auto"/>
              </w:rPr>
            </w:pPr>
            <w:r>
              <w:rPr>
                <w:rFonts w:ascii="Arial" w:cs="Arial" w:eastAsia="Arial" w:hAnsi="Arial"/>
                <w:sz w:val="13"/>
                <w:szCs w:val="13"/>
                <w:b w:val="1"/>
                <w:bCs w:val="1"/>
                <w:color w:val="auto"/>
              </w:rPr>
              <w:t>Old IDRs</w:t>
            </w:r>
          </w:p>
        </w:tc>
        <w:tc>
          <w:tcPr>
            <w:tcW w:w="2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Target Amount</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Unitholders</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Partner</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IDRs</w:t>
            </w:r>
          </w:p>
        </w:tc>
      </w:tr>
      <w:tr>
        <w:trPr>
          <w:trHeight w:val="20"/>
        </w:trPr>
        <w:tc>
          <w:tcPr>
            <w:tcW w:w="5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Third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$0.46875 up to $0.5625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Above $0.5625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r>
    </w:tbl>
    <w:p>
      <w:pPr>
        <w:spacing w:after="0" w:line="20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Effective November 27, 2018, the percentage allocation of the additional available cash from operating surplus after the payment of preference unit distributions and excluding available cash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operating surplus derived from non-GasLog acquisitions was amended, in respect to such rights,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Distribution</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Common</w:t>
            </w: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General</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Holders of</w:t>
            </w:r>
          </w:p>
        </w:tc>
      </w:tr>
      <w:tr>
        <w:trPr>
          <w:trHeight w:val="161"/>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New IDRs</w:t>
            </w:r>
          </w:p>
        </w:tc>
        <w:tc>
          <w:tcPr>
            <w:tcW w:w="33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Unitholders</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Partner</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IDRs</w:t>
            </w:r>
          </w:p>
        </w:tc>
        <w:tc>
          <w:tcPr>
            <w:tcW w:w="160" w:type="dxa"/>
            <w:vAlign w:val="bottom"/>
          </w:tcPr>
          <w:p>
            <w:pPr>
              <w:spacing w:after="0"/>
              <w:rPr>
                <w:sz w:val="14"/>
                <w:szCs w:val="14"/>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2"/>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Above $0.46875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w:t>
            </w:r>
          </w:p>
        </w:tc>
      </w:tr>
    </w:tbl>
    <w:p>
      <w:pPr>
        <w:spacing w:after="0" w:line="20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Under the Partnership's "at-the-market" common equity offering programme ("ATM Programme"), in the year ended December 31, 2018, GasLog Partners has issued and received payment for 2,553,899 common units at a weighted average price of $23.72 per common unit for total net proceeds, after deducting fees and other expenses, of $60,013.</w:t>
      </w:r>
    </w:p>
    <w:p>
      <w:pPr>
        <w:spacing w:after="0" w:line="19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66"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On February 26, 2019, the Partnership entered into a Third Amended and Restated Equity Distribution Agreement to further increase the size of the ATM Programme from $144,040 to $250,000. As of December 31, 2019, the unutilized portion of the ATM Programme is $126,556.</w:t>
      </w:r>
    </w:p>
    <w:p>
      <w:pPr>
        <w:spacing w:after="0" w:line="14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April 1, 2019, GasLog Partners issued 49,850 common units in connection with the vesting of 24,925 RCUs and 24,925 PCUs under the GasLog Partners' Plan at a price of $22.99 per unit.</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June 24, 2019, the Partnership Agreement was amended, effective June 30, 2019,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After the conversion of the first tranche of 415,000 Class B units to common units on July 1, 2020, the remaining 2,075,000 Class B units will become eligible for conversion on a one-for-one basis into common units at GasLog's option on July 1, 2021, July 1, 2022, July 1, 2023, July 1, 2024 and July 1, 2025 for the Class B-2 units, Class B-3 units, Class B-4 units, Class B-5 units and the Class B-6 units, respectively. Following the IDRs' elimination, 98% of the available cash is distributed to the common unitholders and 2% 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distributed to the general partner. The updated earnings allocation applies to the Partnership's earnings from June 30, 2019 and onwards.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6220" w:type="dxa"/>
            <w:vAlign w:val="bottom"/>
            <w:gridSpan w:val="4"/>
          </w:tcPr>
          <w:p>
            <w:pPr>
              <w:spacing w:after="0"/>
              <w:rPr>
                <w:sz w:val="20"/>
                <w:szCs w:val="20"/>
                <w:color w:val="auto"/>
              </w:rPr>
            </w:pPr>
            <w:r>
              <w:rPr>
                <w:rFonts w:ascii="Arial" w:cs="Arial" w:eastAsia="Arial" w:hAnsi="Arial"/>
                <w:sz w:val="13"/>
                <w:szCs w:val="13"/>
                <w:b w:val="1"/>
                <w:bCs w:val="1"/>
                <w:color w:val="auto"/>
              </w:rPr>
              <w:t>Allocation of GasLog Partners' (loss)/profit</w:t>
            </w:r>
            <w:r>
              <w:rPr>
                <w:rFonts w:ascii="Arial" w:cs="Arial" w:eastAsia="Arial" w:hAnsi="Arial"/>
                <w:sz w:val="22"/>
                <w:szCs w:val="22"/>
                <w:b w:val="1"/>
                <w:bCs w:val="1"/>
                <w:color w:val="auto"/>
                <w:vertAlign w:val="superscript"/>
              </w:rPr>
              <w:t>(*)</w:t>
            </w:r>
          </w:p>
        </w:tc>
        <w:tc>
          <w:tcPr>
            <w:tcW w:w="680" w:type="dxa"/>
            <w:vAlign w:val="bottom"/>
          </w:tcPr>
          <w:p>
            <w:pPr>
              <w:ind w:left="200"/>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21"/>
                <w:szCs w:val="21"/>
                <w:color w:val="auto"/>
              </w:rPr>
            </w:pPr>
          </w:p>
        </w:tc>
        <w:tc>
          <w:tcPr>
            <w:tcW w:w="640" w:type="dxa"/>
            <w:vAlign w:val="bottom"/>
          </w:tcPr>
          <w:p>
            <w:pPr>
              <w:jc w:val="right"/>
              <w:ind w:right="9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(loss)/profit attributable to:</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Common unitholders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(66,268)</w:t>
            </w:r>
          </w:p>
        </w:tc>
        <w:tc>
          <w:tcPr>
            <w:tcW w:w="640" w:type="dxa"/>
            <w:vAlign w:val="bottom"/>
          </w:tcPr>
          <w:p>
            <w:pPr>
              <w:jc w:val="right"/>
              <w:spacing w:after="0"/>
              <w:rPr>
                <w:sz w:val="20"/>
                <w:szCs w:val="20"/>
                <w:color w:val="auto"/>
              </w:rPr>
            </w:pPr>
            <w:r>
              <w:rPr>
                <w:rFonts w:ascii="Arial" w:cs="Arial" w:eastAsia="Arial" w:hAnsi="Arial"/>
                <w:sz w:val="18"/>
                <w:szCs w:val="18"/>
                <w:color w:val="auto"/>
              </w:rPr>
              <w:t>25,970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Paid and accrued preference equity distributions</w:t>
            </w: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3"/>
              </w:rPr>
              <w:t>30,328</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(37,419)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4"/>
            <w:vMerge w:val="restart"/>
          </w:tcPr>
          <w:p>
            <w:pPr>
              <w:spacing w:after="0"/>
              <w:rPr>
                <w:sz w:val="20"/>
                <w:szCs w:val="20"/>
                <w:color w:val="auto"/>
              </w:rPr>
            </w:pPr>
            <w:r>
              <w:rPr>
                <w:rFonts w:ascii="Arial" w:cs="Arial" w:eastAsia="Arial" w:hAnsi="Arial"/>
                <w:sz w:val="18"/>
                <w:szCs w:val="18"/>
                <w:color w:val="auto"/>
              </w:rPr>
              <w:t>Partnership's (loss)/profit allocated to GasLog</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gridSpan w:val="4"/>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(22,467)</w:t>
            </w:r>
          </w:p>
        </w:tc>
        <w:tc>
          <w:tcPr>
            <w:tcW w:w="1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8,622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(loss)/profit allocated to non-controlling interests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(37,419)</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tabs>
          <w:tab w:leader="none" w:pos="22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Excludes profits of GAS-twelve Ltd. for the period prior to its transfer to the Partnership on April 1, 2019.</w:t>
      </w:r>
    </w:p>
    <w:p>
      <w:pPr>
        <w:spacing w:after="0" w:line="21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On February 5, 2020, the board of directors of GasLog Partners authorized a renewal of the unit repurchase programme taking the total authority outstanding under the programme to $25,000, to be utilized from February 10, 2020 to December 31, 2021. In the year ended December 31, 2020, GasLog Partners repurchased and cancelled a total of 191,490 units at a weighted average price of $5.18 per common unit for a total amount of $996, including commissions.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April 3, 2020, GasLog Partners issued 46,843 common units in connection with the vesting of 25,551 RCUs and 21,292 PCUs under the GasLog Partners' Plan. On June 30, 2020, GasLog Partners issued an additional 21,589 common units in connection with the vesting of 11,776 RCUs and 9,813 PCUs under the GasLog Partners' Plan.</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July 1, 2020, GasLog Partners issued 415,000 common units in connection with GasLog's option to convert the first tranche of its Class B units issued upon the elimination of IDRs in June 2019.</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Finally, on September 25, 2020, GasLog Partners issued 365,700 common units in connection with the vesting of 182,850 RCUs and 182,850 PCUs under the GasLog Partners' Plan.</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Dividends declared attributable to non-controlling interests included in the consolidated statement of changes in equity represent cash distributions to holders of common and preference units.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year ended December 31, 2020, the board of directors of the Partnership approved and declared cash distributions of $26,531 and of $30,328 for the common units and preference units, respectively, held by non-controlling interests.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participates in the following associates and joint venture:</w:t>
      </w:r>
    </w:p>
    <w:p>
      <w:pPr>
        <w:spacing w:after="0" w:line="221" w:lineRule="exact"/>
        <w:rPr>
          <w:sz w:val="20"/>
          <w:szCs w:val="20"/>
          <w:color w:val="auto"/>
        </w:rPr>
      </w:pPr>
    </w:p>
    <w:p>
      <w:pPr>
        <w:ind w:left="5400" w:hanging="171"/>
        <w:spacing w:after="0"/>
        <w:tabs>
          <w:tab w:leader="none" w:pos="540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line="13" w:lineRule="exact"/>
        <w:rPr>
          <w:rFonts w:ascii="Arial" w:cs="Arial" w:eastAsia="Arial" w:hAnsi="Arial"/>
          <w:sz w:val="13"/>
          <w:szCs w:val="13"/>
          <w:b w:val="1"/>
          <w:bCs w:val="1"/>
          <w:color w:val="auto"/>
        </w:rPr>
      </w:pPr>
    </w:p>
    <w:p>
      <w:pPr>
        <w:ind w:left="50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ownership</w:t>
      </w:r>
    </w:p>
    <w:tbl>
      <w:tblPr>
        <w:tblLayout w:type="fixed"/>
        <w:tblInd w:w="112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7"/>
              </w:rPr>
              <w:t>Country of</w:t>
            </w:r>
          </w:p>
        </w:tc>
        <w:tc>
          <w:tcPr>
            <w:tcW w:w="780" w:type="dxa"/>
            <w:vAlign w:val="bottom"/>
            <w:tcBorders>
              <w:bottom w:val="single" w:sz="8" w:color="auto"/>
            </w:tcBorders>
            <w:gridSpan w:val="3"/>
          </w:tcPr>
          <w:p>
            <w:pPr>
              <w:ind w:left="300"/>
              <w:spacing w:after="0" w:line="148" w:lineRule="exact"/>
              <w:rPr>
                <w:sz w:val="20"/>
                <w:szCs w:val="20"/>
                <w:color w:val="auto"/>
              </w:rPr>
            </w:pPr>
            <w:r>
              <w:rPr>
                <w:rFonts w:ascii="Arial" w:cs="Arial" w:eastAsia="Arial" w:hAnsi="Arial"/>
                <w:sz w:val="13"/>
                <w:szCs w:val="13"/>
                <w:b w:val="1"/>
                <w:bCs w:val="1"/>
                <w:color w:val="auto"/>
                <w:w w:val="97"/>
              </w:rPr>
              <w:t>interest</w:t>
            </w: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Nature of</w:t>
            </w: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Measurement</w:t>
            </w:r>
          </w:p>
        </w:tc>
        <w:tc>
          <w:tcPr>
            <w:tcW w:w="16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Principal</w:t>
            </w:r>
          </w:p>
        </w:tc>
      </w:tr>
      <w:tr>
        <w:trPr>
          <w:trHeight w:val="142"/>
        </w:trPr>
        <w:tc>
          <w:tcPr>
            <w:tcW w:w="238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Name</w:t>
            </w:r>
          </w:p>
        </w:tc>
        <w:tc>
          <w:tcPr>
            <w:tcW w:w="136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incorporation</w:t>
            </w:r>
          </w:p>
        </w:tc>
        <w:tc>
          <w:tcPr>
            <w:tcW w:w="42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000" w:type="dxa"/>
            <w:vAlign w:val="bottom"/>
          </w:tcPr>
          <w:p>
            <w:pPr>
              <w:jc w:val="right"/>
              <w:ind w:right="82"/>
              <w:spacing w:after="0" w:line="142" w:lineRule="exact"/>
              <w:rPr>
                <w:sz w:val="20"/>
                <w:szCs w:val="20"/>
                <w:color w:val="auto"/>
              </w:rPr>
            </w:pPr>
            <w:r>
              <w:rPr>
                <w:rFonts w:ascii="Arial" w:cs="Arial" w:eastAsia="Arial" w:hAnsi="Arial"/>
                <w:sz w:val="13"/>
                <w:szCs w:val="13"/>
                <w:b w:val="1"/>
                <w:bCs w:val="1"/>
                <w:color w:val="auto"/>
              </w:rPr>
              <w:t>relationship</w:t>
            </w:r>
          </w:p>
        </w:tc>
        <w:tc>
          <w:tcPr>
            <w:tcW w:w="16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method</w:t>
            </w:r>
          </w:p>
        </w:tc>
        <w:tc>
          <w:tcPr>
            <w:tcW w:w="160" w:type="dxa"/>
            <w:vAlign w:val="bottom"/>
          </w:tcPr>
          <w:p>
            <w:pPr>
              <w:spacing w:after="0"/>
              <w:rPr>
                <w:sz w:val="12"/>
                <w:szCs w:val="12"/>
                <w:color w:val="auto"/>
              </w:rPr>
            </w:pPr>
          </w:p>
        </w:tc>
        <w:tc>
          <w:tcPr>
            <w:tcW w:w="17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activity</w:t>
            </w:r>
          </w:p>
        </w:tc>
      </w:tr>
      <w:tr>
        <w:trPr>
          <w:trHeight w:val="20"/>
        </w:trPr>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50"/>
        </w:trPr>
        <w:tc>
          <w:tcPr>
            <w:tcW w:w="23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Egypt LNG Shipping Ltd.</w:t>
            </w:r>
            <w:r>
              <w:rPr>
                <w:rFonts w:ascii="Arial" w:cs="Arial" w:eastAsia="Arial" w:hAnsi="Arial"/>
                <w:sz w:val="28"/>
                <w:szCs w:val="28"/>
                <w:color w:val="auto"/>
                <w:vertAlign w:val="superscript"/>
              </w:rPr>
              <w:t>(1)</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Bermuda</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4"/>
              </w:rPr>
              <w:t>25%</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w w:val="92"/>
              </w:rPr>
              <w:t>25% Associate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88"/>
              </w:rPr>
              <w:t>Vessel-owning company</w:t>
            </w:r>
          </w:p>
        </w:tc>
      </w:tr>
      <w:tr>
        <w:trPr>
          <w:trHeight w:val="256"/>
        </w:trPr>
        <w:tc>
          <w:tcPr>
            <w:tcW w:w="23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Gastrade</w:t>
            </w:r>
            <w:r>
              <w:rPr>
                <w:rFonts w:ascii="Arial" w:cs="Arial" w:eastAsia="Arial" w:hAnsi="Arial"/>
                <w:sz w:val="29"/>
                <w:szCs w:val="29"/>
                <w:color w:val="auto"/>
                <w:vertAlign w:val="superscript"/>
              </w:rPr>
              <w:t>(2)</w:t>
            </w:r>
          </w:p>
        </w:tc>
        <w:tc>
          <w:tcPr>
            <w:tcW w:w="1360" w:type="dxa"/>
            <w:vAlign w:val="bottom"/>
            <w:gridSpan w:val="2"/>
          </w:tcPr>
          <w:p>
            <w:pPr>
              <w:spacing w:after="0"/>
              <w:rPr>
                <w:sz w:val="20"/>
                <w:szCs w:val="20"/>
                <w:color w:val="auto"/>
              </w:rPr>
            </w:pPr>
            <w:r>
              <w:rPr>
                <w:rFonts w:ascii="Arial" w:cs="Arial" w:eastAsia="Arial" w:hAnsi="Arial"/>
                <w:sz w:val="18"/>
                <w:szCs w:val="18"/>
                <w:color w:val="auto"/>
              </w:rPr>
              <w:t>Greece</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4"/>
              </w:rPr>
              <w:t>20%</w:t>
            </w:r>
          </w:p>
        </w:tc>
        <w:tc>
          <w:tcPr>
            <w:tcW w:w="18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w w:val="94"/>
              </w:rPr>
              <w:t>20%</w:t>
            </w:r>
          </w:p>
        </w:tc>
        <w:tc>
          <w:tcPr>
            <w:tcW w:w="1000" w:type="dxa"/>
            <w:vAlign w:val="bottom"/>
          </w:tcPr>
          <w:p>
            <w:pPr>
              <w:jc w:val="right"/>
              <w:ind w:right="222"/>
              <w:spacing w:after="0"/>
              <w:rPr>
                <w:sz w:val="20"/>
                <w:szCs w:val="20"/>
                <w:color w:val="auto"/>
              </w:rPr>
            </w:pPr>
            <w:r>
              <w:rPr>
                <w:rFonts w:ascii="Arial" w:cs="Arial" w:eastAsia="Arial" w:hAnsi="Arial"/>
                <w:sz w:val="18"/>
                <w:szCs w:val="18"/>
                <w:color w:val="auto"/>
                <w:w w:val="87"/>
              </w:rPr>
              <w:t>Associate</w:t>
            </w:r>
          </w:p>
        </w:tc>
        <w:tc>
          <w:tcPr>
            <w:tcW w:w="1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Service company</w:t>
            </w:r>
          </w:p>
        </w:tc>
      </w:tr>
      <w:tr>
        <w:trPr>
          <w:trHeight w:val="257"/>
        </w:trPr>
        <w:tc>
          <w:tcPr>
            <w:tcW w:w="23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The Cool Pool Limited</w:t>
            </w:r>
            <w:r>
              <w:rPr>
                <w:rFonts w:ascii="Arial" w:cs="Arial" w:eastAsia="Arial" w:hAnsi="Arial"/>
                <w:sz w:val="29"/>
                <w:szCs w:val="29"/>
                <w:color w:val="auto"/>
                <w:vertAlign w:val="superscript"/>
              </w:rPr>
              <w:t>(3)</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Islands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7"/>
              </w:rPr>
              <w:t>Joint venture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Service company</w:t>
            </w:r>
          </w:p>
        </w:tc>
      </w:tr>
      <w:tr>
        <w:trPr>
          <w:trHeight w:val="108"/>
        </w:trPr>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Egypt LNG Shipping Ltd. owns and operates a 145,000 cbm LNG vessel built in 2007.</w:t>
      </w:r>
    </w:p>
    <w:p>
      <w:pPr>
        <w:spacing w:after="0" w:line="134" w:lineRule="exact"/>
        <w:rPr>
          <w:rFonts w:ascii="Arial" w:cs="Arial" w:eastAsia="Arial" w:hAnsi="Arial"/>
          <w:sz w:val="11"/>
          <w:szCs w:val="11"/>
          <w:color w:val="auto"/>
        </w:rPr>
      </w:pPr>
    </w:p>
    <w:p>
      <w:pPr>
        <w:ind w:left="1680" w:right="380" w:hanging="549"/>
        <w:spacing w:after="0" w:line="274" w:lineRule="auto"/>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Gastrade is a private limited company licensed to develop an independent natural gas system offshore Alexandroupolis in Northern Greece utilizing a floating storage and regasification unit ("FSRU") along with other fixed infrastructure.</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The Cool Pool Limited is the commercial manager of the Cool Pool acting as an agent (Note 1).</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 associates and joint venture consist of the following:</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Associates</w:t>
            </w:r>
          </w:p>
        </w:tc>
      </w:tr>
      <w:tr>
        <w:trPr>
          <w:trHeight w:val="142"/>
        </w:trPr>
        <w:tc>
          <w:tcPr>
            <w:tcW w:w="6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21,620</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Additions</w:t>
            </w: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Dividend declared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(2,525)</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21,620</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21,759</w:t>
            </w:r>
          </w:p>
        </w:tc>
        <w:tc>
          <w:tcPr>
            <w:tcW w:w="16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additions of $472 relate to the investment in Gastrade (December 31, 2019: $158). On February 9, 2017, GasLog acquired a 20% shareholding in Gastrade, a private limited company licensed to develop an independent natural gas system offshore Alexandroupolis in Northern Greece utilizing an FSRU along with other fixed infrastructure. GasLog, as well as being a shareholder, will provide operations and maintenance ("O&amp;M") services for the FSRU through an O&amp;M agreement which was signed on February 23,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financial information in respect of the associates and the joint venture is set out below:</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6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Associates</w:t>
            </w:r>
          </w:p>
        </w:tc>
        <w:tc>
          <w:tcPr>
            <w:tcW w:w="1260" w:type="dxa"/>
            <w:vAlign w:val="bottom"/>
            <w:gridSpan w:val="4"/>
          </w:tcPr>
          <w:p>
            <w:pPr>
              <w:ind w:left="160"/>
              <w:spacing w:after="0"/>
              <w:rPr>
                <w:sz w:val="20"/>
                <w:szCs w:val="20"/>
                <w:color w:val="auto"/>
              </w:rPr>
            </w:pPr>
            <w:r>
              <w:rPr>
                <w:rFonts w:ascii="Arial" w:cs="Arial" w:eastAsia="Arial" w:hAnsi="Arial"/>
                <w:sz w:val="13"/>
                <w:szCs w:val="13"/>
                <w:b w:val="1"/>
                <w:bCs w:val="1"/>
                <w:color w:val="auto"/>
              </w:rPr>
              <w:t>Joint Venture</w:t>
            </w:r>
          </w:p>
        </w:tc>
      </w:tr>
      <w:tr>
        <w:trPr>
          <w:trHeight w:val="142"/>
        </w:trPr>
        <w:tc>
          <w:tcPr>
            <w:tcW w:w="474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4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2019</w:t>
            </w:r>
          </w:p>
        </w:tc>
        <w:tc>
          <w:tcPr>
            <w:tcW w:w="6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22,749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25,861</w:t>
            </w:r>
          </w:p>
        </w:tc>
        <w:tc>
          <w:tcPr>
            <w:tcW w:w="24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(15,258)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(18,393)</w:t>
            </w: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(82,153)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(73,571)</w:t>
            </w:r>
          </w:p>
        </w:tc>
        <w:tc>
          <w:tcPr>
            <w:tcW w:w="420" w:type="dxa"/>
            <w:vAlign w:val="bottom"/>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31,759</w:t>
            </w: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32,823</w:t>
            </w: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b w:val="1"/>
                <w:bCs w:val="1"/>
                <w:color w:val="auto"/>
              </w:rPr>
              <w:t>Group's share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7,840</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8,025</w:t>
            </w:r>
          </w:p>
        </w:tc>
        <w:tc>
          <w:tcPr>
            <w:tcW w:w="240" w:type="dxa"/>
            <w:vAlign w:val="bottom"/>
          </w:tcPr>
          <w:p>
            <w:pPr>
              <w:spacing w:after="0"/>
              <w:rPr>
                <w:sz w:val="18"/>
                <w:szCs w:val="18"/>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from translation</w:t>
            </w: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(41)</w:t>
            </w:r>
          </w:p>
        </w:tc>
        <w:tc>
          <w:tcPr>
            <w:tcW w:w="9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tcPr>
          <w:p>
            <w:pPr>
              <w:spacing w:after="0"/>
              <w:rPr>
                <w:sz w:val="18"/>
                <w:szCs w:val="18"/>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 associates and joint venture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7"/>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0"/>
              </w:rPr>
              <w:t>Associates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rPr>
              <w:t>Joint Venture</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7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4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0"/>
        </w:trPr>
        <w:tc>
          <w:tcPr>
            <w:tcW w:w="112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23,513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26,294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27,807</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346,170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121,434</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Profit for the year</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7,040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6,429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8,593</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for the year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8,593</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Group's share in profit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1,627</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1260" w:type="dxa"/>
            <w:vAlign w:val="bottom"/>
            <w:gridSpan w:val="2"/>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4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declared</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(8,091)</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(3,510)</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(10,100)</w:t>
            </w:r>
          </w:p>
        </w:tc>
        <w:tc>
          <w:tcPr>
            <w:tcW w:w="860" w:type="dxa"/>
            <w:vAlign w:val="bottom"/>
            <w:gridSpan w:val="2"/>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10"/>
        </w:trPr>
        <w:tc>
          <w:tcPr>
            <w:tcW w:w="112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Group's share in dividend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7"/>
              </w:rPr>
              <w:t>—</w:t>
            </w:r>
          </w:p>
        </w:tc>
        <w:tc>
          <w:tcPr>
            <w:tcW w:w="1260" w:type="dxa"/>
            <w:vAlign w:val="bottom"/>
            <w:gridSpan w:val="2"/>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F-34</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tangible fixed assets and vessels under construction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Office property</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Vessels</w:t>
            </w: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and other</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tangible</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under</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Vessels</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tangible assets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fixed assets</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construction</w:t>
            </w:r>
          </w:p>
        </w:tc>
      </w:tr>
      <w:tr>
        <w:trPr>
          <w:trHeight w:val="169"/>
        </w:trPr>
        <w:tc>
          <w:tcPr>
            <w:tcW w:w="470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2019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4,899,678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23,710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4,923,388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159,275</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26,233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450,918</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Return of capital expenditures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(11,224)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(11,224)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406,870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406,870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(406,870)</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5,314,348</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25,164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5,339,512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203,323</w:t>
            </w:r>
          </w:p>
        </w:tc>
      </w:tr>
      <w:tr>
        <w:trPr>
          <w:trHeight w:val="209"/>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40,116</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677,456</w:t>
            </w:r>
          </w:p>
        </w:tc>
        <w:tc>
          <w:tcPr>
            <w:tcW w:w="16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747,940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747,940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(747,940)</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6,078,041</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33,380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6,111,421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132,839</w:t>
            </w:r>
          </w:p>
        </w:tc>
        <w:tc>
          <w:tcPr>
            <w:tcW w:w="160" w:type="dxa"/>
            <w:vAlign w:val="bottom"/>
          </w:tcPr>
          <w:p>
            <w:pPr>
              <w:spacing w:after="0"/>
              <w:rPr>
                <w:sz w:val="18"/>
                <w:szCs w:val="18"/>
                <w:color w:val="auto"/>
              </w:rPr>
            </w:pPr>
          </w:p>
        </w:tc>
      </w:tr>
      <w:tr>
        <w:trPr>
          <w:trHeight w:val="169"/>
        </w:trPr>
        <w:tc>
          <w:tcPr>
            <w:tcW w:w="470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Accumulated depreciation</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2019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595,426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4,380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599,806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156,826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157,701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Impairment loss on vessels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162,149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162,149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907,192</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912,447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165,411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166,201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Impairment loss on vessels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28,627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28,627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1,076,867</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1,082,912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169"/>
        </w:trPr>
        <w:tc>
          <w:tcPr>
            <w:tcW w:w="470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Net book value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4,407,156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4,427,065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203,323</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5,001,174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27,335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5,028,509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132,839</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Vessels with an aggregate carrying amount of $5,001,174 as of December 31, 2020 (December 31, 2019: $4,407,156) have been pledged as collateral under the terms of the Group's loan agreements (Note 13).</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June 30, 2020 and December 31, 2020, a number of negative indicators such as downward pressure on economic activity and energy demand, as well as significant uncertainty regarding future LNG demand and, therefore, LNG shipping requirements pursuant to the COVID-19 pandemic, combined with our reduced expectations for the estimated rates at which employment for the Group's vessels could be secured over the near-term in the spot market prompted the Group to perform an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impairment assessment of its vessels in accordance with the Group's accounting policy (Note 2). The recoverable amounts (values in use) for four Steam vessels owned by the Partnership and the one Steam vessel owned by GasLog (in the table below) calculated as per above were lower than the respective carrying amounts of these vessels and, consequently, an aggregate impairment loss of $28,627 was recognized in profit or loss in the year ended December 31, 2020.</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As of and for the year ended</w:t>
            </w:r>
          </w:p>
        </w:tc>
        <w:tc>
          <w:tcPr>
            <w:tcW w:w="0" w:type="dxa"/>
            <w:vAlign w:val="bottom"/>
          </w:tcPr>
          <w:p>
            <w:pPr>
              <w:spacing w:after="0"/>
              <w:rPr>
                <w:sz w:val="1"/>
                <w:szCs w:val="1"/>
                <w:color w:val="auto"/>
              </w:rPr>
            </w:pPr>
          </w:p>
        </w:tc>
      </w:t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Vessel</w:t>
            </w:r>
          </w:p>
        </w:tc>
        <w:tc>
          <w:tcPr>
            <w:tcW w:w="2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December 31, 2020</w:t>
            </w:r>
          </w:p>
        </w:tc>
        <w:tc>
          <w:tcPr>
            <w:tcW w:w="0" w:type="dxa"/>
            <w:vAlign w:val="bottom"/>
          </w:tcPr>
          <w:p>
            <w:pPr>
              <w:spacing w:after="0"/>
              <w:rPr>
                <w:sz w:val="1"/>
                <w:szCs w:val="1"/>
                <w:color w:val="auto"/>
              </w:rPr>
            </w:pPr>
          </w:p>
        </w:tc>
      </w:tr>
      <w:tr>
        <w:trPr>
          <w:trHeight w:val="142"/>
        </w:trPr>
        <w:tc>
          <w:tcPr>
            <w:tcW w:w="5040" w:type="dxa"/>
            <w:vAlign w:val="bottom"/>
            <w:gridSpan w:val="3"/>
            <w:vMerge w:val="continue"/>
          </w:tcPr>
          <w:p>
            <w:pPr>
              <w:spacing w:after="0"/>
              <w:rPr>
                <w:sz w:val="12"/>
                <w:szCs w:val="12"/>
                <w:color w:val="auto"/>
              </w:rPr>
            </w:pPr>
          </w:p>
        </w:tc>
        <w:tc>
          <w:tcPr>
            <w:tcW w:w="13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Impairment loss</w:t>
            </w:r>
          </w:p>
        </w:tc>
        <w:tc>
          <w:tcPr>
            <w:tcW w:w="13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3"/>
                <w:szCs w:val="13"/>
                <w:b w:val="1"/>
                <w:bCs w:val="1"/>
                <w:color w:val="auto"/>
                <w:w w:val="96"/>
              </w:rPr>
              <w:t>Recoverable amount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Methane Lydon Volney</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(4,704)</w:t>
            </w:r>
          </w:p>
        </w:tc>
        <w:tc>
          <w:tcPr>
            <w:tcW w:w="1360" w:type="dxa"/>
            <w:vAlign w:val="bottom"/>
          </w:tcPr>
          <w:p>
            <w:pPr>
              <w:jc w:val="right"/>
              <w:spacing w:after="0"/>
              <w:rPr>
                <w:sz w:val="20"/>
                <w:szCs w:val="20"/>
                <w:color w:val="auto"/>
              </w:rPr>
            </w:pPr>
            <w:r>
              <w:rPr>
                <w:rFonts w:ascii="Arial" w:cs="Arial" w:eastAsia="Arial" w:hAnsi="Arial"/>
                <w:sz w:val="18"/>
                <w:szCs w:val="18"/>
                <w:color w:val="auto"/>
              </w:rPr>
              <w:t>99,285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c>
          <w:tcPr>
            <w:tcW w:w="1360" w:type="dxa"/>
            <w:vAlign w:val="bottom"/>
          </w:tcPr>
          <w:p>
            <w:pPr>
              <w:jc w:val="right"/>
              <w:spacing w:after="0"/>
              <w:rPr>
                <w:sz w:val="20"/>
                <w:szCs w:val="20"/>
                <w:color w:val="auto"/>
              </w:rPr>
            </w:pPr>
            <w:r>
              <w:rPr>
                <w:rFonts w:ascii="Arial" w:cs="Arial" w:eastAsia="Arial" w:hAnsi="Arial"/>
                <w:sz w:val="18"/>
                <w:szCs w:val="18"/>
                <w:color w:val="auto"/>
              </w:rPr>
              <w:t>92,688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(28,627)</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482,794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1"/>
        <w:spacing w:after="0" w:line="302" w:lineRule="auto"/>
        <w:rPr>
          <w:sz w:val="20"/>
          <w:szCs w:val="20"/>
          <w:color w:val="auto"/>
        </w:rPr>
      </w:pPr>
      <w:r>
        <w:rPr>
          <w:rFonts w:ascii="Arial" w:cs="Arial" w:eastAsia="Arial" w:hAnsi="Arial"/>
          <w:sz w:val="15"/>
          <w:szCs w:val="15"/>
          <w:color w:val="auto"/>
        </w:rPr>
        <w:t>As of December 31, 2020, 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$40 per day (December 31, 2019: $41 per day). Increasing/decreasing the average re-chartering rate used by $5 per day would result in an impairment reversal of $109,772/ impairment loss of $115,887, respectively. The discount rate used for the Steam vessels was 6.4% as of December 31, 2020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7.25%). Increasing/decreasing the discount rate by 0.5% would result in an impairment loss of $26,751/ an impairment reversal of $14,492, respectively.</w:t>
      </w:r>
    </w:p>
    <w:p>
      <w:pPr>
        <w:spacing w:after="0" w:line="24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October 11, 2016, GasLog LNG Services Ltd. entered into an arrangement whereby it would have access to all long lead items ("LLIs") necessary for the conversion of a GasLog LNG carrier vessel into FSRUs whereby such conversion work would be undertaken by Keppel Shipyard Limited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69"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Related to the acquisition of six vessels from a subsidiary of Methane Services Limited ("MSL") in 2014 and another two vessels in 2015, the Group was committed to purchase depot spares from MSL with an aggregate initial value of $8,000 of which depot spares with value of $660 had already been purchased and paid while the remaining were acquired and paid on June 2, 2020.</w:t>
      </w:r>
    </w:p>
    <w:p>
      <w:pPr>
        <w:spacing w:after="0" w:line="194"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In June 2020, GasLog LNG Services Ltd. agreed to sell a low-pressure turbine which was included in Office property and other tangible assets to Egypt LNG Shipping Ltd. to be installed on the Methane Nile Eagle at a price of $2,457. The disposal resulted in a loss of $572.</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 (Continued)</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which were not timely delivered or in the correct contractual condition. In accordance with the terms of the interim agreement, $10,451 has been reimbursed to the Group with realized foreign exchange losses of $773 recorded in profit or loss in the year ended December 31, 2019.</w:t>
      </w:r>
    </w:p>
    <w:p>
      <w:pPr>
        <w:spacing w:after="0" w:line="16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May 2014, GAS-twenty three Ltd. entered into a shipbuilding contract with Samsung Heavy Industries Co., Ltd. ("Samsung") for the construction of an LNG carrier (174,000 cbm). The vessel (the </w:t>
      </w:r>
      <w:r>
        <w:rPr>
          <w:rFonts w:ascii="Arial" w:cs="Arial" w:eastAsia="Arial" w:hAnsi="Arial"/>
          <w:sz w:val="18"/>
          <w:szCs w:val="18"/>
          <w:i w:val="1"/>
          <w:iCs w:val="1"/>
          <w:color w:val="auto"/>
        </w:rPr>
        <w:t>GasLog Gladstone</w:t>
      </w:r>
      <w:r>
        <w:rPr>
          <w:rFonts w:ascii="Arial" w:cs="Arial" w:eastAsia="Arial" w:hAnsi="Arial"/>
          <w:sz w:val="18"/>
          <w:szCs w:val="18"/>
          <w:color w:val="auto"/>
        </w:rPr>
        <w:t>) was delivered on March 15, 2019.</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In September 2016, GasLog Carriers entered into a shipbuilding contract with Samsung for the construction of one LNG carrier (180,000 cbm). The vessel (the </w:t>
      </w:r>
      <w:r>
        <w:rPr>
          <w:rFonts w:ascii="Arial" w:cs="Arial" w:eastAsia="Arial" w:hAnsi="Arial"/>
          <w:sz w:val="18"/>
          <w:szCs w:val="18"/>
          <w:i w:val="1"/>
          <w:iCs w:val="1"/>
          <w:color w:val="auto"/>
        </w:rPr>
        <w:t>GasLog Warsaw</w:t>
      </w:r>
      <w:r>
        <w:rPr>
          <w:rFonts w:ascii="Arial" w:cs="Arial" w:eastAsia="Arial" w:hAnsi="Arial"/>
          <w:sz w:val="18"/>
          <w:szCs w:val="18"/>
          <w:color w:val="auto"/>
        </w:rPr>
        <w:t>) was delivered on July 31, 2019.</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 xml:space="preserve">In January 2018, GAS-twenty eight Ltd. entered into a shipbuilding contract with Samsung for the construction of one LNG carrier (180,000 cbm). The vessel (the </w:t>
      </w:r>
      <w:r>
        <w:rPr>
          <w:rFonts w:ascii="Arial" w:cs="Arial" w:eastAsia="Arial" w:hAnsi="Arial"/>
          <w:sz w:val="18"/>
          <w:szCs w:val="18"/>
          <w:i w:val="1"/>
          <w:iCs w:val="1"/>
          <w:color w:val="auto"/>
        </w:rPr>
        <w:t>GasLog Windsor</w:t>
      </w:r>
      <w:r>
        <w:rPr>
          <w:rFonts w:ascii="Arial" w:cs="Arial" w:eastAsia="Arial" w:hAnsi="Arial"/>
          <w:sz w:val="18"/>
          <w:szCs w:val="18"/>
          <w:color w:val="auto"/>
        </w:rPr>
        <w:t>) was delivered on April 1, 2020.</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In March 2018, GAS-thirty one Ltd. entered into a shipbuilding contract with Samsung for the construction of one LNG carrier (180,000 cbm). The vessel (the </w:t>
      </w:r>
      <w:r>
        <w:rPr>
          <w:rFonts w:ascii="Arial" w:cs="Arial" w:eastAsia="Arial" w:hAnsi="Arial"/>
          <w:sz w:val="18"/>
          <w:szCs w:val="18"/>
          <w:i w:val="1"/>
          <w:iCs w:val="1"/>
          <w:color w:val="auto"/>
        </w:rPr>
        <w:t>GasLog Wales</w:t>
      </w:r>
      <w:r>
        <w:rPr>
          <w:rFonts w:ascii="Arial" w:cs="Arial" w:eastAsia="Arial" w:hAnsi="Arial"/>
          <w:sz w:val="18"/>
          <w:szCs w:val="18"/>
          <w:color w:val="auto"/>
        </w:rPr>
        <w:t>) was delivered on May 11, 2020.</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In May 2018, GAS-thirty Ltd. entered into a shipbuilding contract with Samsung for the construction of one LNG carrier (180,000 cbm). The vessel (the </w:t>
      </w:r>
      <w:r>
        <w:rPr>
          <w:rFonts w:ascii="Arial" w:cs="Arial" w:eastAsia="Arial" w:hAnsi="Arial"/>
          <w:sz w:val="18"/>
          <w:szCs w:val="18"/>
          <w:i w:val="1"/>
          <w:iCs w:val="1"/>
          <w:color w:val="auto"/>
        </w:rPr>
        <w:t>GasLog Westminster</w:t>
      </w:r>
      <w:r>
        <w:rPr>
          <w:rFonts w:ascii="Arial" w:cs="Arial" w:eastAsia="Arial" w:hAnsi="Arial"/>
          <w:sz w:val="18"/>
          <w:szCs w:val="18"/>
          <w:color w:val="auto"/>
        </w:rPr>
        <w:t>) was delivered on July 15, 2020.</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 xml:space="preserve">In August 2018, GAS-thirty two Ltd. entered into a shipbuilding contract with Samsung for the construction of one LNG carrier (174,000 cbm). The vessel (the </w:t>
      </w:r>
      <w:r>
        <w:rPr>
          <w:rFonts w:ascii="Arial" w:cs="Arial" w:eastAsia="Arial" w:hAnsi="Arial"/>
          <w:sz w:val="18"/>
          <w:szCs w:val="18"/>
          <w:i w:val="1"/>
          <w:iCs w:val="1"/>
          <w:color w:val="auto"/>
        </w:rPr>
        <w:t>GasLog Georgetown</w:t>
      </w:r>
      <w:r>
        <w:rPr>
          <w:rFonts w:ascii="Arial" w:cs="Arial" w:eastAsia="Arial" w:hAnsi="Arial"/>
          <w:sz w:val="18"/>
          <w:szCs w:val="18"/>
          <w:color w:val="auto"/>
        </w:rPr>
        <w:t>) was delivered on November 16,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GasLog has the following newbuildings on order at Samsung:</w:t>
      </w:r>
    </w:p>
    <w:p>
      <w:pPr>
        <w:sectPr>
          <w:pgSz w:w="11900" w:h="16838" w:orient="portrait"/>
          <w:cols w:equalWidth="0" w:num="1">
            <w:col w:w="11220"/>
          </w:cols>
          <w:pgMar w:left="320" w:top="131" w:right="359" w:bottom="1440" w:gutter="0" w:footer="0" w:header="0"/>
        </w:sectPr>
      </w:pPr>
    </w:p>
    <w:p>
      <w:pPr>
        <w:spacing w:after="0" w:line="369"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LNG Carrier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 of agreement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Estimated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delivery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Cargo</w:t>
      </w:r>
    </w:p>
    <w:p>
      <w:pPr>
        <w:spacing w:after="0" w:line="13" w:lineRule="exact"/>
        <w:rPr>
          <w:sz w:val="20"/>
          <w:szCs w:val="20"/>
          <w:color w:val="auto"/>
        </w:rPr>
      </w:pPr>
    </w:p>
    <w:p>
      <w:pPr>
        <w:jc w:val="center"/>
        <w:ind w:right="1920"/>
        <w:spacing w:after="0"/>
        <w:rPr>
          <w:sz w:val="20"/>
          <w:szCs w:val="20"/>
          <w:color w:val="auto"/>
        </w:rPr>
      </w:pPr>
      <w:r>
        <w:rPr>
          <w:rFonts w:ascii="Arial" w:cs="Arial" w:eastAsia="Arial" w:hAnsi="Arial"/>
          <w:sz w:val="12"/>
          <w:szCs w:val="12"/>
          <w:b w:val="1"/>
          <w:bCs w:val="1"/>
          <w:color w:val="auto"/>
        </w:rPr>
        <w:t>Capacity (cbm)</w:t>
      </w:r>
    </w:p>
    <w:p>
      <w:pPr>
        <w:spacing w:after="0" w:line="42" w:lineRule="exact"/>
        <w:rPr>
          <w:sz w:val="20"/>
          <w:szCs w:val="20"/>
          <w:color w:val="auto"/>
        </w:rPr>
      </w:pPr>
    </w:p>
    <w:p>
      <w:pPr>
        <w:sectPr>
          <w:pgSz w:w="11900" w:h="16838" w:orient="portrait"/>
          <w:cols w:equalWidth="0" w:num="4">
            <w:col w:w="5020" w:space="720"/>
            <w:col w:w="1060" w:space="340"/>
            <w:col w:w="580" w:space="700"/>
            <w:col w:w="2800"/>
          </w:cols>
          <w:pgMar w:left="320" w:top="131" w:right="359" w:bottom="1440" w:gutter="0" w:footer="0" w:header="0"/>
          <w:type w:val="continuous"/>
        </w:sectPr>
      </w:pPr>
    </w:p>
    <w:tbl>
      <w:tblPr>
        <w:tblLayout w:type="fixed"/>
        <w:tblInd w:w="1700" w:type="dxa"/>
        <w:tblCellMar>
          <w:top w:w="0" w:type="dxa"/>
          <w:left w:w="0" w:type="dxa"/>
          <w:bottom w:w="0" w:type="dxa"/>
          <w:right w:w="0" w:type="dxa"/>
        </w:tblCellMar>
      </w:tblPr>
      <w:tr>
        <w:trPr>
          <w:trHeight w:val="20"/>
        </w:trPr>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60" w:type="dxa"/>
            <w:vAlign w:val="bottom"/>
            <w:gridSpan w:val="3"/>
            <w:shd w:val="clear" w:color="auto" w:fill="CCEEFF"/>
          </w:tcPr>
          <w:p>
            <w:pPr>
              <w:spacing w:after="0" w:line="109" w:lineRule="exact"/>
              <w:rPr>
                <w:sz w:val="20"/>
                <w:szCs w:val="20"/>
                <w:color w:val="auto"/>
              </w:rPr>
            </w:pPr>
            <w:r>
              <w:rPr>
                <w:rFonts w:ascii="Arial" w:cs="Arial" w:eastAsia="Arial" w:hAnsi="Arial"/>
                <w:sz w:val="12"/>
                <w:szCs w:val="12"/>
                <w:i w:val="1"/>
                <w:iCs w:val="1"/>
                <w:color w:val="auto"/>
              </w:rPr>
              <w:t>GasLog Galveston</w:t>
            </w:r>
          </w:p>
        </w:tc>
        <w:tc>
          <w:tcPr>
            <w:tcW w:w="12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August 2018</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ind w:left="160"/>
              <w:spacing w:after="0" w:line="109" w:lineRule="exact"/>
              <w:rPr>
                <w:sz w:val="20"/>
                <w:szCs w:val="20"/>
                <w:color w:val="auto"/>
              </w:rPr>
            </w:pPr>
            <w:r>
              <w:rPr>
                <w:rFonts w:ascii="Arial" w:cs="Arial" w:eastAsia="Arial" w:hAnsi="Arial"/>
                <w:sz w:val="12"/>
                <w:szCs w:val="12"/>
                <w:color w:val="auto"/>
              </w:rPr>
              <w:t>Q1 2021</w:t>
            </w:r>
          </w:p>
        </w:tc>
        <w:tc>
          <w:tcPr>
            <w:tcW w:w="500" w:type="dxa"/>
            <w:vAlign w:val="bottom"/>
            <w:vMerge w:val="restart"/>
            <w:shd w:val="clear" w:color="auto" w:fill="CCEEFF"/>
          </w:tcPr>
          <w:p>
            <w:pPr>
              <w:jc w:val="right"/>
              <w:ind w:right="267"/>
              <w:spacing w:after="0"/>
              <w:rPr>
                <w:sz w:val="20"/>
                <w:szCs w:val="20"/>
                <w:color w:val="auto"/>
              </w:rPr>
            </w:pPr>
            <w:r>
              <w:rPr>
                <w:rFonts w:ascii="Arial" w:cs="Arial" w:eastAsia="Arial" w:hAnsi="Arial"/>
                <w:sz w:val="15"/>
                <w:szCs w:val="15"/>
                <w:color w:val="auto"/>
                <w:w w:val="76"/>
              </w:rPr>
              <w:t>(1)</w:t>
            </w:r>
          </w:p>
        </w:tc>
        <w:tc>
          <w:tcPr>
            <w:tcW w:w="10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174,000</w:t>
            </w: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Hull No. 2311</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December 2018</w:t>
            </w:r>
          </w:p>
        </w:tc>
        <w:tc>
          <w:tcPr>
            <w:tcW w:w="16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w w:val="86"/>
              </w:rPr>
              <w:t>Q2 2021</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Hull No. 2312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Q3 2021</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tabs>
          <w:tab w:leader="none" w:pos="224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The vessel was delivered on January 4, 2021 (Note 30).</w:t>
      </w:r>
    </w:p>
    <w:p>
      <w:pPr>
        <w:spacing w:after="0" w:line="21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December 31, 2020, the Group has paid to the shipyard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$129,252 for the vessels that are under construction and expects to pay the remaining installments as they come due upon each vessel's keel laying, launching and delivery (Note 23(a)).</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vessels under construction costs as of December 31, 2019 and 2020 are comprised of:</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960" w:type="dxa"/>
            <w:vAlign w:val="bottom"/>
            <w:gridSpan w:val="3"/>
          </w:tcPr>
          <w:p>
            <w:pPr>
              <w:jc w:val="center"/>
              <w:ind w:left="541"/>
              <w:spacing w:after="0"/>
              <w:rPr>
                <w:sz w:val="20"/>
                <w:szCs w:val="20"/>
                <w:color w:val="auto"/>
              </w:rPr>
            </w:pPr>
            <w:r>
              <w:rPr>
                <w:rFonts w:ascii="Arial" w:cs="Arial" w:eastAsia="Arial" w:hAnsi="Arial"/>
                <w:sz w:val="13"/>
                <w:szCs w:val="13"/>
                <w:b w:val="1"/>
                <w:bCs w:val="1"/>
                <w:color w:val="auto"/>
                <w:w w:val="92"/>
              </w:rPr>
              <w:t>As of</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12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Progress shipyard installments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129,252</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700" w:type="dxa"/>
            <w:vAlign w:val="bottom"/>
          </w:tcPr>
          <w:p>
            <w:pPr>
              <w:jc w:val="right"/>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EEFF"/>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203,323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132,839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the current weighted average incremental borrowing rate.</w:t>
      </w:r>
    </w:p>
    <w:p>
      <w:pPr>
        <w:spacing w:after="0" w:line="16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right-of-use assets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Vessel</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440" w:type="dxa"/>
            <w:vAlign w:val="bottom"/>
            <w:gridSpan w:val="3"/>
          </w:tcPr>
          <w:p>
            <w:pPr>
              <w:ind w:left="20"/>
              <w:spacing w:after="0"/>
              <w:rPr>
                <w:sz w:val="20"/>
                <w:szCs w:val="20"/>
                <w:color w:val="auto"/>
              </w:rPr>
            </w:pPr>
            <w:r>
              <w:rPr>
                <w:rFonts w:ascii="Arial" w:cs="Arial" w:eastAsia="Arial" w:hAnsi="Arial"/>
                <w:sz w:val="13"/>
                <w:szCs w:val="13"/>
                <w:b w:val="1"/>
                <w:bCs w:val="1"/>
                <w:color w:val="auto"/>
              </w:rPr>
              <w:t>Right-of-Use Assets</w:t>
            </w: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Vessels</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Equipment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Properties</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Other</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0"/>
        </w:trPr>
        <w:tc>
          <w:tcPr>
            <w:tcW w:w="1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 of January 1, 2019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206,753</w:t>
            </w: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214,371</w:t>
            </w: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Additions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2,464</w:t>
            </w:r>
          </w:p>
        </w:tc>
      </w:tr>
      <w:tr>
        <w:trPr>
          <w:trHeight w:val="216"/>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w:t>
            </w:r>
          </w:p>
        </w:tc>
      </w:tr>
      <w:tr>
        <w:trPr>
          <w:trHeight w:val="209"/>
        </w:trPr>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200,032</w:t>
            </w:r>
          </w:p>
        </w:tc>
        <w:tc>
          <w:tcPr>
            <w:tcW w:w="4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4,550</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206,495</w:t>
            </w:r>
          </w:p>
        </w:tc>
        <w:tc>
          <w:tcPr>
            <w:tcW w:w="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4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Additions, net</w:t>
            </w:r>
          </w:p>
        </w:tc>
        <w:tc>
          <w:tcPr>
            <w:tcW w:w="11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5,799</w:t>
            </w: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833</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1,255</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w:t>
            </w: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7,954</w:t>
            </w: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Depreciation expense</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(8,163)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(11,012)</w:t>
            </w:r>
          </w:p>
        </w:tc>
      </w:tr>
      <w:tr>
        <w:trPr>
          <w:trHeight w:val="20"/>
        </w:trPr>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197,668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4,258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203,437</w:t>
            </w:r>
          </w:p>
        </w:tc>
      </w:tr>
      <w:tr>
        <w:trPr>
          <w:trHeight w:val="20"/>
        </w:trPr>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20" w:hanging="549"/>
        <w:spacing w:after="0" w:line="274" w:lineRule="auto"/>
        <w:tabs>
          <w:tab w:leader="none" w:pos="16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balance as of December 31, 2018 represented the vessel held under finance lease and was included in the financial statement line "Vessel held under finance lease", which was renamed to "Right-of-use assets" as of January 1, 2019.</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lease liabilities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Lease Liabilities</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213,374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Additions, net</w:t>
            </w:r>
          </w:p>
        </w:tc>
        <w:tc>
          <w:tcPr>
            <w:tcW w:w="70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 charge (Note 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Payments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(20,412)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(20,836)</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204,930</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Lease liability, current portion</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9,363</w:t>
            </w: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9,644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 portion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195,567</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204,930</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amount of $327 has been recognized in the consolidated statement of profit or loss for the year ended December 31, 2020 ($106 for the year ended December 31, 2019), which represents the lease expense incurred for low value leases not included in the measurement of the right-of-use assets and the lease liability.</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consist of the following:</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182,056</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Time deposits (with original maturities of three months or less)</w:t>
            </w:r>
          </w:p>
        </w:tc>
        <w:tc>
          <w:tcPr>
            <w:tcW w:w="700" w:type="dxa"/>
            <w:vAlign w:val="bottom"/>
          </w:tcPr>
          <w:p>
            <w:pPr>
              <w:jc w:val="right"/>
              <w:spacing w:after="0"/>
              <w:rPr>
                <w:sz w:val="20"/>
                <w:szCs w:val="20"/>
                <w:color w:val="auto"/>
              </w:rPr>
            </w:pPr>
            <w:r>
              <w:rPr>
                <w:rFonts w:ascii="Arial" w:cs="Arial" w:eastAsia="Arial" w:hAnsi="Arial"/>
                <w:sz w:val="18"/>
                <w:szCs w:val="18"/>
                <w:color w:val="auto"/>
              </w:rPr>
              <w:t>149,491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36,971</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client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147,845</w:t>
            </w:r>
          </w:p>
        </w:tc>
        <w:tc>
          <w:tcPr>
            <w:tcW w:w="160" w:type="dxa"/>
            <w:vAlign w:val="bottom"/>
          </w:tcPr>
          <w:p>
            <w:pPr>
              <w:spacing w:after="0"/>
              <w:rPr>
                <w:sz w:val="18"/>
                <w:szCs w:val="18"/>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263,747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367,269</w:t>
            </w:r>
          </w:p>
        </w:tc>
        <w:tc>
          <w:tcPr>
            <w:tcW w:w="16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Restricted cash represents the cash in relation to the amount drawn for the delivery of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until her delivery from the shipyard on January 4, 2021 (Note 30).</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9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92"/>
              </w:rPr>
              <w:t>As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28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VAT receivable</w:t>
            </w: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1,139</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16,818</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Insurance claims</w:t>
            </w:r>
          </w:p>
        </w:tc>
        <w:tc>
          <w:tcPr>
            <w:tcW w:w="620" w:type="dxa"/>
            <w:vAlign w:val="bottom"/>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4,236</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60" w:type="dxa"/>
            <w:vAlign w:val="bottom"/>
            <w:shd w:val="clear" w:color="auto" w:fill="CCEEFF"/>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36,223</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20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and 2020 no allowance for expected credit losses was recorded.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900" w:type="dxa"/>
            <w:vAlign w:val="bottom"/>
            <w:gridSpan w:val="3"/>
          </w:tcPr>
          <w:p>
            <w:pPr>
              <w:jc w:val="center"/>
              <w:ind w:left="441"/>
              <w:spacing w:after="0"/>
              <w:rPr>
                <w:sz w:val="20"/>
                <w:szCs w:val="20"/>
                <w:color w:val="auto"/>
              </w:rPr>
            </w:pPr>
            <w:r>
              <w:rPr>
                <w:rFonts w:ascii="Arial" w:cs="Arial" w:eastAsia="Arial" w:hAnsi="Arial"/>
                <w:sz w:val="13"/>
                <w:szCs w:val="13"/>
                <w:b w:val="1"/>
                <w:bCs w:val="1"/>
                <w:color w:val="auto"/>
                <w:w w:val="92"/>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28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Various guarantees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long-term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5,378</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collaterals on swaps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60" w:type="dxa"/>
            <w:vAlign w:val="bottom"/>
            <w:shd w:val="clear" w:color="auto" w:fill="CCEEFF"/>
          </w:tcPr>
          <w:p>
            <w:pPr>
              <w:spacing w:after="0"/>
              <w:rPr>
                <w:sz w:val="18"/>
                <w:szCs w:val="18"/>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24,221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12,463</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51"/>
        <w:spacing w:after="0" w:line="331" w:lineRule="auto"/>
        <w:rPr>
          <w:sz w:val="20"/>
          <w:szCs w:val="20"/>
          <w:color w:val="auto"/>
        </w:rPr>
      </w:pPr>
      <w:r>
        <w:rPr>
          <w:rFonts w:ascii="Arial" w:cs="Arial" w:eastAsia="Arial" w:hAnsi="Arial"/>
          <w:sz w:val="16"/>
          <w:szCs w:val="16"/>
          <w:color w:val="auto"/>
        </w:rPr>
        <w:t>Cash collaterals on swaps represent cash deposited for the Group's interest rate swaps being the difference between their fair value and an agreed threshold. An amount of $16,671 of cash collaterals has been included in Prepayments and other current assets (December 31, 2019: nil).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authorized share capital consists of 500,000,000 shares with a par value $0.01 per share.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February 13, 2020 and February 14, 2020, GasLog repurchased 323,919 common shares at a weighted average price of $6.1443 per share for a total amount of $2,000 under its share repurchase programme.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June 29, 2020, GasLog issued 14,400,000 common shares at a price of $2.50 per share for total gross proceeds of $36,000 through a private placement of unregistered common shares.</w:t>
      </w:r>
    </w:p>
    <w:p>
      <w:pPr>
        <w:spacing w:after="0" w:line="186"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As of December 31, 2020, the share capital consisted of 95,176,443 issued and outstanding common shares, par value $0.01 per share, 216,683 treasury shares issued and held by GasLog and 4,600,000 Preference Shares issued and outstanding (December 31, 2019: 80,871,670 issued and outstanding common shares, par value $0.01 per share, 121,456 treasury shares issued and held by GasLog and 4,600,000 Preference Shares issued and outstanding). The movements in the number 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shares, the share capital, the Preference Shares, the contributed surplus and the treasury shares are reported in the following table:</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0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Number of Shares</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rPr>
              <w:t>Amounts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560" w:type="dxa"/>
            <w:vAlign w:val="bottom"/>
          </w:tcPr>
          <w:p>
            <w:pPr>
              <w:spacing w:after="0"/>
              <w:rPr>
                <w:sz w:val="11"/>
                <w:szCs w:val="11"/>
                <w:color w:val="auto"/>
              </w:rPr>
            </w:pPr>
          </w:p>
        </w:tc>
        <w:tc>
          <w:tcPr>
            <w:tcW w:w="1080" w:type="dxa"/>
            <w:vAlign w:val="bottom"/>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8"/>
              </w:rPr>
              <w:t>Number of</w:t>
            </w: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8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2560" w:type="dxa"/>
            <w:vAlign w:val="bottom"/>
          </w:tcPr>
          <w:p>
            <w:pPr>
              <w:spacing w:after="0"/>
              <w:rPr>
                <w:sz w:val="12"/>
                <w:szCs w:val="12"/>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common</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treasury</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preference</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w:t>
            </w: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Preference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Contributed</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Treasury</w:t>
            </w:r>
          </w:p>
        </w:tc>
      </w:tr>
      <w:tr>
        <w:trPr>
          <w:trHeight w:val="161"/>
        </w:trPr>
        <w:tc>
          <w:tcPr>
            <w:tcW w:w="25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shares</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capital</w:t>
            </w: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surplus</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r>
      <w:tr>
        <w:trPr>
          <w:trHeight w:val="195"/>
        </w:trPr>
        <w:tc>
          <w:tcPr>
            <w:tcW w:w="2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Outstanding as of January 1,</w:t>
            </w: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80,717,885</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275,241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4,600,000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911,766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(6,960)</w:t>
            </w:r>
          </w:p>
        </w:tc>
      </w:tr>
      <w:tr>
        <w:trPr>
          <w:trHeight w:val="210"/>
        </w:trPr>
        <w:tc>
          <w:tcPr>
            <w:tcW w:w="2560" w:type="dxa"/>
            <w:vAlign w:val="bottom"/>
          </w:tcPr>
          <w:p>
            <w:pPr>
              <w:ind w:left="20"/>
              <w:spacing w:after="0"/>
              <w:rPr>
                <w:sz w:val="20"/>
                <w:szCs w:val="20"/>
                <w:color w:val="auto"/>
              </w:rPr>
            </w:pPr>
            <w:r>
              <w:rPr>
                <w:rFonts w:ascii="Arial" w:cs="Arial" w:eastAsia="Arial" w:hAnsi="Arial"/>
                <w:sz w:val="18"/>
                <w:szCs w:val="18"/>
                <w:color w:val="auto"/>
              </w:rPr>
              <w:t>Purchase of treasury shares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distributed for</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awards vested or exercised in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year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146,179</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(146,179)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3,756</w:t>
            </w: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Equity raising fees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deducted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contributed surplus due</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accumulated deficit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95"/>
        </w:trPr>
        <w:tc>
          <w:tcPr>
            <w:tcW w:w="256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Outstanding as of</w:t>
            </w: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560" w:type="dxa"/>
            <w:vAlign w:val="bottom"/>
          </w:tcPr>
          <w:p>
            <w:pPr>
              <w:ind w:left="200"/>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80,861,246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131,880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40" w:type="dxa"/>
            <w:vAlign w:val="bottom"/>
            <w:gridSpan w:val="2"/>
          </w:tcPr>
          <w:p>
            <w:pPr>
              <w:ind w:left="600"/>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850,576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(3,266)</w:t>
            </w:r>
          </w:p>
        </w:tc>
      </w:tr>
      <w:tr>
        <w:trPr>
          <w:trHeight w:val="20"/>
        </w:trPr>
        <w:tc>
          <w:tcPr>
            <w:tcW w:w="2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shares</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(212,111)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w:t>
            </w:r>
          </w:p>
        </w:tc>
      </w:tr>
      <w:tr>
        <w:trPr>
          <w:trHeight w:val="208"/>
        </w:trPr>
        <w:tc>
          <w:tcPr>
            <w:tcW w:w="2560" w:type="dxa"/>
            <w:vAlign w:val="bottom"/>
          </w:tcPr>
          <w:p>
            <w:pPr>
              <w:ind w:left="20"/>
              <w:spacing w:after="0"/>
              <w:rPr>
                <w:sz w:val="20"/>
                <w:szCs w:val="20"/>
                <w:color w:val="auto"/>
              </w:rPr>
            </w:pPr>
            <w:r>
              <w:rPr>
                <w:rFonts w:ascii="Arial" w:cs="Arial" w:eastAsia="Arial" w:hAnsi="Arial"/>
                <w:sz w:val="18"/>
                <w:szCs w:val="18"/>
                <w:color w:val="auto"/>
              </w:rPr>
              <w:t>Treasury shares distributed for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tcPr>
          <w:p>
            <w:pPr>
              <w:ind w:left="200"/>
              <w:spacing w:after="0"/>
              <w:rPr>
                <w:sz w:val="20"/>
                <w:szCs w:val="20"/>
                <w:color w:val="auto"/>
              </w:rPr>
            </w:pPr>
            <w:r>
              <w:rPr>
                <w:rFonts w:ascii="Arial" w:cs="Arial" w:eastAsia="Arial" w:hAnsi="Arial"/>
                <w:sz w:val="18"/>
                <w:szCs w:val="18"/>
                <w:color w:val="auto"/>
                <w:w w:val="98"/>
              </w:rPr>
              <w:t>awards vested or exercised in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60" w:type="dxa"/>
            <w:vAlign w:val="bottom"/>
          </w:tcPr>
          <w:p>
            <w:pPr>
              <w:ind w:left="200"/>
              <w:spacing w:after="0"/>
              <w:rPr>
                <w:sz w:val="20"/>
                <w:szCs w:val="20"/>
                <w:color w:val="auto"/>
              </w:rPr>
            </w:pPr>
            <w:r>
              <w:rPr>
                <w:rFonts w:ascii="Arial" w:cs="Arial" w:eastAsia="Arial" w:hAnsi="Arial"/>
                <w:sz w:val="18"/>
                <w:szCs w:val="18"/>
                <w:color w:val="auto"/>
              </w:rPr>
              <w:t>the year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222,535</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(222,535)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4,859</w:t>
            </w:r>
          </w:p>
        </w:tc>
      </w:tr>
      <w:tr>
        <w:trPr>
          <w:trHeight w:val="21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raising fees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560" w:type="dxa"/>
            <w:vAlign w:val="bottom"/>
          </w:tcPr>
          <w:p>
            <w:pPr>
              <w:ind w:left="20"/>
              <w:spacing w:after="0"/>
              <w:rPr>
                <w:sz w:val="20"/>
                <w:szCs w:val="20"/>
                <w:color w:val="auto"/>
              </w:rPr>
            </w:pPr>
            <w:r>
              <w:rPr>
                <w:rFonts w:ascii="Arial" w:cs="Arial" w:eastAsia="Arial" w:hAnsi="Arial"/>
                <w:sz w:val="18"/>
                <w:szCs w:val="18"/>
                <w:color w:val="auto"/>
              </w:rPr>
              <w:t>Dividends declared deducted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tcPr>
          <w:p>
            <w:pPr>
              <w:ind w:left="200"/>
              <w:spacing w:after="0"/>
              <w:rPr>
                <w:sz w:val="20"/>
                <w:szCs w:val="20"/>
                <w:color w:val="auto"/>
              </w:rPr>
            </w:pPr>
            <w:r>
              <w:rPr>
                <w:rFonts w:ascii="Arial" w:cs="Arial" w:eastAsia="Arial" w:hAnsi="Arial"/>
                <w:sz w:val="18"/>
                <w:szCs w:val="18"/>
                <w:color w:val="auto"/>
              </w:rPr>
              <w:t>from contributed surplus due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60" w:type="dxa"/>
            <w:vAlign w:val="bottom"/>
          </w:tcPr>
          <w:p>
            <w:pPr>
              <w:ind w:left="200"/>
              <w:spacing w:after="0"/>
              <w:rPr>
                <w:sz w:val="20"/>
                <w:szCs w:val="20"/>
                <w:color w:val="auto"/>
              </w:rPr>
            </w:pPr>
            <w:r>
              <w:rPr>
                <w:rFonts w:ascii="Arial" w:cs="Arial" w:eastAsia="Arial" w:hAnsi="Arial"/>
                <w:sz w:val="18"/>
                <w:szCs w:val="18"/>
                <w:color w:val="auto"/>
              </w:rPr>
              <w:t>to accumulated deficit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(89,310)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96"/>
        </w:trPr>
        <w:tc>
          <w:tcPr>
            <w:tcW w:w="2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as of</w:t>
            </w: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2019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80,871,670</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121,456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4,600,000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760,671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(2,159)</w:t>
            </w:r>
          </w:p>
        </w:tc>
      </w:tr>
      <w:tr>
        <w:trPr>
          <w:trHeight w:val="210"/>
        </w:trPr>
        <w:tc>
          <w:tcPr>
            <w:tcW w:w="2560" w:type="dxa"/>
            <w:vAlign w:val="bottom"/>
          </w:tcPr>
          <w:p>
            <w:pPr>
              <w:ind w:left="20"/>
              <w:spacing w:after="0"/>
              <w:rPr>
                <w:sz w:val="20"/>
                <w:szCs w:val="20"/>
                <w:color w:val="auto"/>
              </w:rPr>
            </w:pPr>
            <w:r>
              <w:rPr>
                <w:rFonts w:ascii="Arial" w:cs="Arial" w:eastAsia="Arial" w:hAnsi="Arial"/>
                <w:sz w:val="18"/>
                <w:szCs w:val="18"/>
                <w:color w:val="auto"/>
              </w:rPr>
              <w:t>Purchase of treasury shares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77"/>
              </w:rPr>
              <w:t>—</w:t>
            </w: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r>
      <w:tr>
        <w:trPr>
          <w:trHeight w:val="20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Proceeds from private placement,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offering costs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14,400,000</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34,849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560" w:type="dxa"/>
            <w:vAlign w:val="bottom"/>
          </w:tcPr>
          <w:p>
            <w:pPr>
              <w:ind w:left="20"/>
              <w:spacing w:after="0"/>
              <w:rPr>
                <w:sz w:val="20"/>
                <w:szCs w:val="20"/>
                <w:color w:val="auto"/>
              </w:rPr>
            </w:pPr>
            <w:r>
              <w:rPr>
                <w:rFonts w:ascii="Arial" w:cs="Arial" w:eastAsia="Arial" w:hAnsi="Arial"/>
                <w:sz w:val="18"/>
                <w:szCs w:val="18"/>
                <w:color w:val="auto"/>
              </w:rPr>
              <w:t>Treasury shares distributed for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60" w:type="dxa"/>
            <w:vAlign w:val="bottom"/>
          </w:tcPr>
          <w:p>
            <w:pPr>
              <w:ind w:left="200"/>
              <w:spacing w:after="0"/>
              <w:rPr>
                <w:sz w:val="20"/>
                <w:szCs w:val="20"/>
                <w:color w:val="auto"/>
              </w:rPr>
            </w:pPr>
            <w:r>
              <w:rPr>
                <w:rFonts w:ascii="Arial" w:cs="Arial" w:eastAsia="Arial" w:hAnsi="Arial"/>
                <w:sz w:val="18"/>
                <w:szCs w:val="18"/>
                <w:color w:val="auto"/>
                <w:w w:val="98"/>
              </w:rPr>
              <w:t>awards vested or exercised in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560" w:type="dxa"/>
            <w:vAlign w:val="bottom"/>
          </w:tcPr>
          <w:p>
            <w:pPr>
              <w:ind w:left="200"/>
              <w:spacing w:after="0"/>
              <w:rPr>
                <w:sz w:val="20"/>
                <w:szCs w:val="20"/>
                <w:color w:val="auto"/>
              </w:rPr>
            </w:pPr>
            <w:r>
              <w:rPr>
                <w:rFonts w:ascii="Arial" w:cs="Arial" w:eastAsia="Arial" w:hAnsi="Arial"/>
                <w:sz w:val="18"/>
                <w:szCs w:val="18"/>
                <w:color w:val="auto"/>
              </w:rPr>
              <w:t>the year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228,692</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(228,692)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2,819</w:t>
            </w: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deducted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contributed surplus due</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accumulated deficit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(35,698)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95"/>
        </w:trPr>
        <w:tc>
          <w:tcPr>
            <w:tcW w:w="256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Outstanding as of</w:t>
            </w: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560" w:type="dxa"/>
            <w:vAlign w:val="bottom"/>
          </w:tcPr>
          <w:p>
            <w:pPr>
              <w:ind w:left="200"/>
              <w:spacing w:after="0"/>
              <w:rPr>
                <w:sz w:val="20"/>
                <w:szCs w:val="20"/>
                <w:color w:val="auto"/>
              </w:rPr>
            </w:pPr>
            <w:r>
              <w:rPr>
                <w:rFonts w:ascii="Arial" w:cs="Arial" w:eastAsia="Arial" w:hAnsi="Arial"/>
                <w:sz w:val="18"/>
                <w:szCs w:val="18"/>
                <w:b w:val="1"/>
                <w:bCs w:val="1"/>
                <w:color w:val="auto"/>
              </w:rPr>
              <w:t>December 31, 2020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95,176,443</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216,683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954</w:t>
            </w:r>
          </w:p>
        </w:tc>
        <w:tc>
          <w:tcPr>
            <w:tcW w:w="940" w:type="dxa"/>
            <w:vAlign w:val="bottom"/>
            <w:gridSpan w:val="2"/>
          </w:tcPr>
          <w:p>
            <w:pPr>
              <w:ind w:left="600"/>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759,822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(1,340)</w:t>
            </w:r>
          </w:p>
        </w:tc>
      </w:tr>
      <w:tr>
        <w:trPr>
          <w:trHeight w:val="20"/>
        </w:trPr>
        <w:tc>
          <w:tcPr>
            <w:tcW w:w="2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The treasury shares were acquired by GasLog in 2014, 2018, 2019 and 2020 in relation to the settlement of share-based compensation awards (Note 22).</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reserves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Share-based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Employee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compensation</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1"/>
        </w:trPr>
        <w:tc>
          <w:tcPr>
            <w:tcW w:w="2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benefits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reserve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reserves</w:t>
            </w:r>
          </w:p>
        </w:tc>
        <w:tc>
          <w:tcPr>
            <w:tcW w:w="160" w:type="dxa"/>
            <w:vAlign w:val="bottom"/>
          </w:tcPr>
          <w:p>
            <w:pPr>
              <w:spacing w:after="0"/>
              <w:rPr>
                <w:sz w:val="14"/>
                <w:szCs w:val="14"/>
                <w:color w:val="auto"/>
              </w:rPr>
            </w:pPr>
          </w:p>
        </w:tc>
      </w:tr>
      <w:tr>
        <w:trPr>
          <w:trHeight w:val="20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18,347</w:t>
            </w:r>
          </w:p>
        </w:tc>
      </w:tr>
      <w:tr>
        <w:trPr>
          <w:trHeight w:val="257"/>
        </w:trPr>
        <w:tc>
          <w:tcPr>
            <w:tcW w:w="54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Retained earnings adjustment</w:t>
            </w:r>
            <w:r>
              <w:rPr>
                <w:rFonts w:ascii="Arial" w:cs="Arial" w:eastAsia="Arial" w:hAnsi="Arial"/>
                <w:sz w:val="29"/>
                <w:szCs w:val="29"/>
                <w:color w:val="auto"/>
                <w:vertAlign w:val="superscript"/>
              </w:rPr>
              <w:t>(1)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2018 (restated)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17,911</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4,434</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(3,074)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9"/>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18,962</w:t>
            </w:r>
          </w:p>
        </w:tc>
        <w:tc>
          <w:tcPr>
            <w:tcW w:w="160" w:type="dxa"/>
            <w:vAlign w:val="bottom"/>
          </w:tcPr>
          <w:p>
            <w:pPr>
              <w:spacing w:after="0"/>
              <w:rPr>
                <w:sz w:val="18"/>
                <w:szCs w:val="18"/>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697</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4,794</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(4,721)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(4,721)</w:t>
            </w: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20,027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16,799</w:t>
            </w:r>
          </w:p>
        </w:tc>
      </w:tr>
      <w:tr>
        <w:trPr>
          <w:trHeight w:val="209"/>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5,385</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(2,824)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(2,824)</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gain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22,588</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18,667</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8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6"/>
        </w:numPr>
        <w:rPr>
          <w:rFonts w:ascii="Arial" w:cs="Arial" w:eastAsia="Arial" w:hAnsi="Arial"/>
          <w:sz w:val="11"/>
          <w:szCs w:val="11"/>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dividend distributions for the years ended December 31, 2018, 2019 and 2020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Dividend</w:t>
            </w: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1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Declaration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Type of 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Payment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 paid</w:t>
            </w:r>
          </w:p>
        </w:tc>
        <w:tc>
          <w:tcPr>
            <w:tcW w:w="118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15,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11,300</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March 8,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2,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3,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24,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12,120</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May 11,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2,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1,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23,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12,122</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September 13,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1,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31,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21,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November 15,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2,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28,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17,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32,342</w:t>
            </w:r>
          </w:p>
        </w:tc>
        <w:tc>
          <w:tcPr>
            <w:tcW w:w="102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13,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14,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March 7,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1,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2,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23,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May 10,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1,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2,515</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31,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22,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September 17,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1,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5,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21,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November 14,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2, 2020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14,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31,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30,731</w:t>
            </w:r>
          </w:p>
        </w:tc>
        <w:tc>
          <w:tcPr>
            <w:tcW w:w="102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5, 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12, 2020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12,082</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March 12, 2020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1, 2020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6, 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28, 2020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4,035</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May 14, 2020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1, 2020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4, 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27, 2020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4,758</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September 16, 2020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1, 2020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9, 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30, 2020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December 9, 2020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4, 2021</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35,698</w:t>
            </w:r>
          </w:p>
        </w:tc>
        <w:tc>
          <w:tcPr>
            <w:tcW w:w="1020" w:type="dxa"/>
            <w:vAlign w:val="bottom"/>
          </w:tcPr>
          <w:p>
            <w:pPr>
              <w:spacing w:after="0"/>
              <w:rPr>
                <w:sz w:val="18"/>
                <w:szCs w:val="18"/>
                <w:color w:val="auto"/>
              </w:rPr>
            </w:pPr>
          </w:p>
        </w:tc>
      </w:tr>
      <w:tr>
        <w:trPr>
          <w:trHeight w:val="423"/>
        </w:trPr>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F-44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borrowings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5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(12,668)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(12,636)</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current portion</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255,422</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245,626</w:t>
            </w:r>
          </w:p>
        </w:tc>
        <w:tc>
          <w:tcPr>
            <w:tcW w:w="160" w:type="dxa"/>
            <w:vAlign w:val="bottom"/>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Pr>
          <w:p>
            <w:pPr>
              <w:jc w:val="right"/>
              <w:spacing w:after="0"/>
              <w:rPr>
                <w:sz w:val="20"/>
                <w:szCs w:val="20"/>
                <w:color w:val="auto"/>
              </w:rPr>
            </w:pPr>
            <w:r>
              <w:rPr>
                <w:rFonts w:ascii="Arial" w:cs="Arial" w:eastAsia="Arial" w:hAnsi="Arial"/>
                <w:sz w:val="18"/>
                <w:szCs w:val="18"/>
                <w:color w:val="auto"/>
              </w:rPr>
              <w:t>2,930,221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3,583,447</w:t>
            </w:r>
          </w:p>
        </w:tc>
        <w:tc>
          <w:tcPr>
            <w:tcW w:w="1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premium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(39,705)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(56,649)</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non-current portion</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2,891,973</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3,527,595</w:t>
            </w:r>
          </w:p>
        </w:tc>
        <w:tc>
          <w:tcPr>
            <w:tcW w:w="16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3,147,395</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3,773,221</w:t>
            </w:r>
          </w:p>
        </w:tc>
        <w:tc>
          <w:tcPr>
            <w:tcW w:w="1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facilities:</w:t>
      </w:r>
    </w:p>
    <w:p>
      <w:pPr>
        <w:spacing w:after="0" w:line="225" w:lineRule="exact"/>
        <w:rPr>
          <w:sz w:val="20"/>
          <w:szCs w:val="20"/>
          <w:color w:val="auto"/>
        </w:rPr>
      </w:pPr>
    </w:p>
    <w:p>
      <w:pPr>
        <w:ind w:right="340" w:firstLine="8"/>
        <w:spacing w:after="0" w:line="275" w:lineRule="auto"/>
        <w:tabs>
          <w:tab w:leader="none" w:pos="249"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Nordea Bank Finland plc, London Branch, DVB Bank America N.V., ABN Amro Bank N.V. ("ABN"), Skandinaviska Enskilda Banken AB ("SEB") and BNP Paribas loan (Old Partnership Facility, as defined below)</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12, 2014, GAS-three Ltd., GAS-four Ltd., GAS-five Ltd., GAS-sixteen Ltd., GAS-seventeen Ltd., GasLog Partners and GasLog Partners Holdings LLC entered into a loan agreement with Citibank N.A., London Branch, acting as security agent and trustee for and on behalf of the other finance parties mentioned above, for a credit facility for up to $450,000 (the "Old Partnership Facility") for the purpose of refinancing in full the existing debt facilities. The agreement provided for a single tranche that was drawn on November 18, 2014. The credit facility bore interest at USD London Interbank Offered Rate ("LIBOR") plus a margin. In February 2019, the Partnership signed a debt refinancing of up to $450,000 with certain financial institutions (refer to (b) in the Existing facilities section), in order to refinance such indebtedness. On March 6, 2019, the Partnership used $354,375 drawn down under the new facility to prepay the outstanding debt of GAS-three Ltd., GAS-four Ltd., GAS-five Ltd., GAS-sixteen Ltd. and GAS-seventeen Ltd., which would have been due in November 2019. On March 7, 2019, the Old Partnership Facility was terminated and the respective unamortized loan fees of $988 were written-off to profit or loss.</w:t>
      </w:r>
    </w:p>
    <w:p>
      <w:pPr>
        <w:spacing w:after="0" w:line="167" w:lineRule="exact"/>
        <w:rPr>
          <w:sz w:val="20"/>
          <w:szCs w:val="20"/>
          <w:color w:val="auto"/>
        </w:rPr>
      </w:pPr>
    </w:p>
    <w:p>
      <w:pPr>
        <w:ind w:right="100" w:firstLine="8"/>
        <w:spacing w:after="0" w:line="339" w:lineRule="auto"/>
        <w:tabs>
          <w:tab w:leader="none" w:pos="258"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ABN AMRO Bank N.V., DNB (UK) Ltd., DVB Bank America N.V., Commonwealth Bank of Australia, ING Bank N.V. ("ING"), London Branch, Credit Agricole Corporate and Investment Bank and National Australia Bank Limited loan (Five Vessel Refinancing, as defined below)</w:t>
      </w:r>
    </w:p>
    <w:p>
      <w:pPr>
        <w:spacing w:after="0" w:line="13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On February 18, 2016, GAS-eighteen Ltd., GAS-nineteen Ltd., GAS-twenty Ltd., GAS-twenty one Ltd. and GAS-twenty seven Ltd. entered into a credit agreement to refinance the debt maturities that were scheduled to become due in 2016 and 2017 (the "Five Vessel Refinancing"). The Five Vessel Refinancing comprised a five-year senior tranche facility of up to $396,500 and a two-year bullet junior tranche facility of up to $180,000. The vessels covered by the Five Vessel Refinancing were the GasLog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Methane Lydon</w:t>
      </w:r>
      <w:r>
        <w:rPr>
          <w:rFonts w:ascii="Arial" w:cs="Arial" w:eastAsia="Arial" w:hAnsi="Arial"/>
          <w:sz w:val="18"/>
          <w:szCs w:val="18"/>
          <w:color w:val="auto"/>
        </w:rPr>
        <w:t xml:space="preserve"> </w:t>
      </w:r>
      <w:r>
        <w:rPr>
          <w:rFonts w:ascii="Arial" w:cs="Arial" w:eastAsia="Arial" w:hAnsi="Arial"/>
          <w:sz w:val="18"/>
          <w:szCs w:val="18"/>
          <w:i w:val="1"/>
          <w:iCs w:val="1"/>
          <w:color w:val="auto"/>
        </w:rPr>
        <w:t>Volney.</w:t>
      </w:r>
    </w:p>
    <w:p>
      <w:pPr>
        <w:spacing w:after="0" w:line="186"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On April 5, 2017, GasLog prepaid $150,000 under the junior tranche facility agreement and on January 5, 2018, GasLog Partners prepaid the outstanding balance of $29,750 under the junior tranche facility agreement, which was subsequently cancelled.</w:t>
      </w:r>
    </w:p>
    <w:p>
      <w:pPr>
        <w:spacing w:after="0" w:line="15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aggregate balance outstanding under the senior tranche as of December 31, 2019 was $289,709. Amounts drawn bore interest at LIBOR plus a margin.</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July 21, 2020, pursuant to the multiple credit agreements entered into by the Group to refinance its existing indebtedness which was scheduled to become due in 2021 (refer to (e), (f) and (g) in the Existing Facilities section), the outstanding balances of GAS-eighteen Ltd., GAS-nineteen Ltd., GAS-twenty Ltd., GAS-twenty one Ltd. and GAS-twenty seven Ltd., under the senior tranche totaling $265,911, were fully repaid. The existing loan facilities of the specified vessels under the Five Vessel Refinancing were terminated and the respective unamortized loan fees of $1,183 were written-off to profit or loss. A few days earlier, $7,933 were repaid in accordance with the repayment terms under the Five Vessel Refinancing Facility since the closing of the refinancing was delayed by approximately two weeks due to COVID-19.</w:t>
      </w:r>
    </w:p>
    <w:p>
      <w:pPr>
        <w:spacing w:after="0" w:line="168" w:lineRule="exact"/>
        <w:rPr>
          <w:sz w:val="20"/>
          <w:szCs w:val="20"/>
          <w:color w:val="auto"/>
        </w:rPr>
      </w:pPr>
    </w:p>
    <w:p>
      <w:pPr>
        <w:jc w:val="both"/>
        <w:ind w:right="440" w:firstLine="8"/>
        <w:spacing w:after="0" w:line="262" w:lineRule="auto"/>
        <w:tabs>
          <w:tab w:leader="none" w:pos="23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Citigroup Global Market Limited, Credit Suisse AG, Nordea Bank AB, London Branch, Skandinaviska Enskilda Banken AB (publ), HSBC Bank plc ("HSBC"), ING Bank N.V., London Branch, Danmarks Skibskredit A/S, Korea Development Bank and DVB Bank America N.V. loan (Legacy Facility Refinancing, as defined below)</w:t>
      </w:r>
    </w:p>
    <w:p>
      <w:pPr>
        <w:spacing w:after="0" w:line="19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On July 19, 2016, GAS-one Ltd., GAS-two Ltd., GAS-six Ltd., GAS-seven Ltd., GAS-eight Ltd., GAS-nine Ltd., GAS-ten Ltd. and GAS-fifteen Ltd. entered into a credit agreement with a number of international banks (the "Legacy Facility Refinancing") to refinance the existing indebtedness on eight of GasLog's on-the-water vessels of up to $1,050,000, extending the maturities of six existing credit facilities to 2021. The vessels covered by the Legacy Facility Refinancing are the GasLog-owned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and the GasLog Partners owned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20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Legacy Facility Refinancing was comprised of a five-year term loan facility of up to $950,000 and a revolving credit facility of up to $100,000. On July 25, 2016, the available amount of $950,000 under the term loan facility and $11,641 under the revolving credit facility were drawn to refinance the aggregate existing indebtedness of $959,899 of GAS-one Ltd., GAS-two Ltd., GAS-six Ltd., GAS-seven Ltd., GAS-eight Ltd., GAS-nine Ltd., GAS-ten Ltd. and GAS-fifteen Ltd. Amounts drawn bore interest at LIBOR plus a margin. On January 17, 2017, $30,000 was drawn under the revolving credit facility. On July 3, 2017, the full drawn amount of $41,641 under the revolving credit facility was repaid. On November 13, 2018, $25,940 was drawn under the revolving credit facility, which was repaid on December 12, 2018.</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balance outstanding as of December 31, 2019 was $775,000 under the term loan facility and $0 under the revolving credit facility. On February 13, 2020, March 13, 2020 and March 18, 2020, $23,346, $50,714 and $25,940 were drawn under the revolving credit facility.</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July 21, 2020, pursuant to the multiple credit agreements entered into by the Group to refinance its existing indebtedness which was scheduled to become due in 2021(refer to (e), (g) and (h) in the Existing Facilities section), the outstanding balances of GAS-one Ltd., GAS-two Ltd., GAS-six Ltd., GAS-seven Ltd., GAS-eight Ltd., GAS-nine Ltd. and GAS-ten Ltd., under the term and revolving credit facilities totaling $724,514 were fully repaid. In addition, on August 3, 2020, the outstanding balance of GAS-fifteen Ltd. under the term and revolving credit facility of $92,153 was fully repaid. The existing loan facilities of the specified vessels under the Legacy Facility Refinancing were terminated and the respective unamortized loan fees of $3,591 were written-off to profit or loss. A few days earlier, $25,875 were repaid in accordance with the repayment terms under the Legacy Facility Refinancing since the closing of the refinancing was delayed by approximately two weeks due to COVID-19.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25" w:lineRule="exact"/>
        <w:rPr>
          <w:sz w:val="20"/>
          <w:szCs w:val="20"/>
          <w:color w:val="auto"/>
        </w:rPr>
      </w:pPr>
    </w:p>
    <w:p>
      <w:pPr>
        <w:ind w:right="60" w:firstLine="8"/>
        <w:spacing w:after="0" w:line="258" w:lineRule="auto"/>
        <w:tabs>
          <w:tab w:leader="none" w:pos="249"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 Bank, London Branch, KfW IPEX-Bank GmbH, National Australia Bank Limited, Oversea-Chinese Banking Corporation Limited, Société Générale and The Korea Development Bank loan (October 2015 Facility, as defined below)</w:t>
      </w:r>
    </w:p>
    <w:p>
      <w:pPr>
        <w:spacing w:after="0" w:line="19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with 14 international banks ("October 2015 Facility")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loan agreement provides for four tranches of $412,458, $201,094, $206,115 and $491,690.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$162,967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$160,697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January 2, 2018 and March 14, 2018, $166,210 was drawn on each date with respect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Hong Kong, </w:t>
      </w:r>
      <w:r>
        <w:rPr>
          <w:rFonts w:ascii="Arial" w:cs="Arial" w:eastAsia="Arial" w:hAnsi="Arial"/>
          <w:sz w:val="18"/>
          <w:szCs w:val="18"/>
          <w:color w:val="auto"/>
        </w:rPr>
        <w:t>while on March 23, 2018 and March 11, 2019, $165,805 was drawn down on each date with respect to the deliveries of the</w:t>
      </w:r>
      <w:r>
        <w:rPr>
          <w:rFonts w:ascii="Arial" w:cs="Arial" w:eastAsia="Arial" w:hAnsi="Arial"/>
          <w:sz w:val="18"/>
          <w:szCs w:val="18"/>
          <w:i w:val="1"/>
          <w:iCs w:val="1"/>
          <w:color w:val="auto"/>
        </w:rPr>
        <w:t xml:space="preserve"> GasLog Genoa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Gladstone. </w:t>
      </w:r>
      <w:r>
        <w:rPr>
          <w:rFonts w:ascii="Arial" w:cs="Arial" w:eastAsia="Arial" w:hAnsi="Arial"/>
          <w:sz w:val="18"/>
          <w:szCs w:val="18"/>
          <w:color w:val="auto"/>
        </w:rPr>
        <w:t>Amounts drawn bear interest at LIBOR plus a margin.</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October 21, 2020, the outstanding indebtedness of GAS-twenty five Ltd., in the amount of $136,776 was prepaid pursuant to the sale and leaseback agreement entered into with CMB Financial Leasing Co. Ltd. ("CMBFL") (refer below). The relevant tranches of the loan agreement were terminated and the respective unamortized loan fees of $3,571 were written-off to profit or loss. The aggregate balance outstanding under the loan facility as of December 31, 2020 is $873,776 (December 31, 2019: $1,103,442).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Credit Suisse AG, Nordea Bank Abp, filial I Norge and Iyo Bank Ltd., Singapore Branch (2019 Partnership Facility, as defined below)</w:t>
      </w:r>
    </w:p>
    <w:p>
      <w:pPr>
        <w:spacing w:after="0" w:line="2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Partnership Facility") for the purpose of refinancing in full the Old Partnership Facility described above.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Partnership Facility, out of which $354,375 was used to prepay the outstanding debt under the Old Partnership Facility, which would have been due in November 2019. On April 1, 2019, the Partnership drew down an additional $75,000 under the 2019 Partnership Facility. The aggregate balance outstanding as of December 31, 2020 is $398,501 (December 31, 2019: $425,949), with no amount available to be redrawn as of December 31, 2020 (December 31, 2019: $1,980).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ABN AMRO BANK N.V. and Oversea-Chinese Banking Corporation Limited ("OCBC") (GasLog Warsaw Facility, as defined below)</w:t>
      </w:r>
    </w:p>
    <w:p>
      <w:pPr>
        <w:spacing w:after="0" w:line="254"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 xml:space="preserve">On June 25, 2019, GasLog Hellas-1 Special Maritime Enterprise entered into a loan agreement with ABN AMRO BANK N.V. and OCBC, for the financing of the </w:t>
      </w:r>
      <w:r>
        <w:rPr>
          <w:rFonts w:ascii="Arial" w:cs="Arial" w:eastAsia="Arial" w:hAnsi="Arial"/>
          <w:sz w:val="18"/>
          <w:szCs w:val="18"/>
          <w:i w:val="1"/>
          <w:iCs w:val="1"/>
          <w:color w:val="auto"/>
        </w:rPr>
        <w:t>GasLog Warsaw</w:t>
      </w:r>
      <w:r>
        <w:rPr>
          <w:rFonts w:ascii="Arial" w:cs="Arial" w:eastAsia="Arial" w:hAnsi="Arial"/>
          <w:sz w:val="18"/>
          <w:szCs w:val="18"/>
          <w:color w:val="auto"/>
        </w:rPr>
        <w:t>, which was delivered on July 31, 2019 (the "GasLog Warsaw Facility"). The agreement provides for a single tranche of $129,500 that was drawn on July 25, 2019 and is repayable in 28 equal quarterly installments of $1,619 each and a final balloon payment of $84,175 payable concurrently with the last quarterly installment in June 2026. The loan bears interest at LIBOR plus a margin. The balance outstanding as of December 31, 2020 is $121,406 (December 31, 2019: $127,881).</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25" w:lineRule="exact"/>
        <w:rPr>
          <w:sz w:val="20"/>
          <w:szCs w:val="20"/>
          <w:color w:val="auto"/>
        </w:rPr>
      </w:pPr>
    </w:p>
    <w:p>
      <w:pPr>
        <w:ind w:right="180" w:firstLine="8"/>
        <w:spacing w:after="0" w:line="258" w:lineRule="auto"/>
        <w:tabs>
          <w:tab w:leader="none" w:pos="258"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DNB (UK) Ltd., Skandinaviska Enskilda Banken AB (publ), The Export-Import Bank of Korea, Bank of America, National Association, BNP Paribas, Seoul Branch, Commonwealth Bank of Australia, KfW IPEX-Bank GmbH, National Australia Bank Limited, Oversea-Chinese Banking Corporation Limited, Société Générale, Standard Chartered Bank ("SCB"), The Korea Development Bank and KB Kookmin Bank (7xNB Facility, as defined below)</w:t>
      </w:r>
    </w:p>
    <w:p>
      <w:pPr>
        <w:spacing w:after="0" w:line="19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 and GAS-thirty five Ltd. entered into a loan agreement (the "7xNB Facility") with 13 international banks, with Citibank N.A. London Branch and DNB Bank ASA, London Branch acting as agents on behalf of the other finance parties. The financing is backed by KEXIM and K-Sure, who are either directly lending or providing cover for over 60% of the facility. The agreement of up to $1,052,791 partially finances the delivery of seven newbuildings scheduled to be delivered in 2020 and 2021. The loan agreement provides for four tranches of $176,547, $174,787, $356,671 and $344,786. The facility is also sub-divided into seven loans, one loan per newbuilding vessel, to be provided for each of the vessels on a pro rata basis under each of the four tranches. Each drawing under the first and the third tranche are combined and repaid in 24 consecutive semi-annual equal instalments commencing six months after the actual delivery of the relevant vessel according to an average 12-year profile. Each drawing under the second tranche is repaid in 14 consecutive semi-annual equal instalments commencing six months after the actual delivery of the relevant vessel according to an average 7-year profile. Each drawing under the fourth tranche is repaid in a single bullet seven years after the actual delivery of the relevant vessel.</w:t>
      </w:r>
    </w:p>
    <w:p>
      <w:pPr>
        <w:spacing w:after="0" w:line="17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March 26, 2020, on May 7, 2020, on July 9, 2020, on November 12, 2020 and on December 29, 2020, $152,525, $149,386, $149,281, $147,845 and $147,845, respectively, was drawn down with respect to the deliveries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Georgetown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Galveston </w:t>
      </w:r>
      <w:r>
        <w:rPr>
          <w:rFonts w:ascii="Arial" w:cs="Arial" w:eastAsia="Arial" w:hAnsi="Arial"/>
          <w:sz w:val="16"/>
          <w:szCs w:val="16"/>
          <w:color w:val="auto"/>
        </w:rPr>
        <w:t>(delivered on January 4, 2021 (Note 30)). The aggregate balance outstanding under the loan facility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is $738,422 (December 31, 2019: $0). Amounts drawn bear interest at LIBOR plus a margin.</w:t>
      </w:r>
    </w:p>
    <w:p>
      <w:pPr>
        <w:spacing w:after="0" w:line="166" w:lineRule="exact"/>
        <w:rPr>
          <w:sz w:val="20"/>
          <w:szCs w:val="20"/>
          <w:color w:val="auto"/>
        </w:rPr>
      </w:pPr>
    </w:p>
    <w:p>
      <w:pPr>
        <w:ind w:right="300" w:firstLine="341"/>
        <w:spacing w:after="0" w:line="331" w:lineRule="auto"/>
        <w:rPr>
          <w:sz w:val="20"/>
          <w:szCs w:val="20"/>
          <w:color w:val="auto"/>
        </w:rPr>
      </w:pPr>
      <w:r>
        <w:rPr>
          <w:rFonts w:ascii="Arial" w:cs="Arial" w:eastAsia="Arial" w:hAnsi="Arial"/>
          <w:sz w:val="16"/>
          <w:szCs w:val="16"/>
          <w:color w:val="auto"/>
        </w:rPr>
        <w:t>As of December 31, 2020, commitment, underwriting and legal fees of $4,658 (December 31, 2019: $11,592) for obtaining the undrawn portion of the financing are classified under Deferred financing costs in the statement of financial position and are netted off debt on the respective drawdown 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BNP Paribas, Credit Suisse AG and Alpha Bank S.A. (GasLog Partners $260.3M Facility, as defined below)</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July 16, 2020, GasLog Partners entered into a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$8,597 beginning in January 2021, with a final balloon amount of $174,361 payable concurrently with the last installment in July 2025. Interest on the facility will be payable at a rate of LIBOR plus a margin. An amount of $260,331 was drawn on July 21, 2020, out of which $258,532 was used to refinance the outstanding indebtedness of GAS-twenty Ltd., GAS-seven Ltd. and GAS-eight Ltd., the respective entities owning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The balance outstanding as of December 31, 2020 is $260,331.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DNB Bank ASA, London Branch, and ING Bank N.V., London Branch (GasLog Partners $193.7M Facility, as defined below)</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 xml:space="preserve">On July 16, 2020, GasLog Partners entered into a credit agreement of $193,713 (the "GasLog Partners $193.7M Facility")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will be payable at a rate of LIBOR plus a margin. An amount of $193,713 was drawn down on July 21, 2020, out of which $174,867 was used to refinance the outstanding indebtedness of GAS-nineteen Ltd., GAS-twenty one Ltd. and GAS-twenty seven Ltd., the respective entities owning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The balance outstanding as of December 31, 2020 is $193,713.</w:t>
      </w:r>
    </w:p>
    <w:p>
      <w:pPr>
        <w:spacing w:after="0" w:line="172" w:lineRule="exact"/>
        <w:rPr>
          <w:sz w:val="20"/>
          <w:szCs w:val="20"/>
          <w:color w:val="auto"/>
        </w:rPr>
      </w:pPr>
    </w:p>
    <w:p>
      <w:pPr>
        <w:ind w:firstLine="8"/>
        <w:spacing w:after="0" w:line="339" w:lineRule="auto"/>
        <w:tabs>
          <w:tab w:leader="none" w:pos="249"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ABN AMRO Bank N.V., Citigroup Global Markets Limited and Nordea Bank ABP, Filial I Norge, HSBC Bank plc, Credit Agricole Corporate and Investment Bank, Unicredit Bank AG and National Bank of Australia Limited (GasLog $576.9M Facility, as defined below)</w:t>
      </w:r>
    </w:p>
    <w:p>
      <w:pPr>
        <w:spacing w:after="0" w:line="134" w:lineRule="exact"/>
        <w:rPr>
          <w:sz w:val="20"/>
          <w:szCs w:val="20"/>
          <w:color w:val="auto"/>
        </w:rPr>
      </w:pPr>
    </w:p>
    <w:p>
      <w:pPr>
        <w:ind w:right="80" w:firstLine="351"/>
        <w:spacing w:after="0" w:line="301" w:lineRule="auto"/>
        <w:rPr>
          <w:sz w:val="20"/>
          <w:szCs w:val="20"/>
          <w:color w:val="auto"/>
        </w:rPr>
      </w:pPr>
      <w:r>
        <w:rPr>
          <w:rFonts w:ascii="Arial" w:cs="Arial" w:eastAsia="Arial" w:hAnsi="Arial"/>
          <w:sz w:val="15"/>
          <w:szCs w:val="15"/>
          <w:color w:val="auto"/>
        </w:rPr>
        <w:t>On July 16, 2020 GAS-one Ltd., GAS-two Ltd., GAS-six Ltd., GAS-nine Ltd., GAS-ten Ltd., and GAS-eighteen Ltd. entered into a credit agreement of $576,888 (the "GasLog $576.9M Facility") with ABN AMRO Bank N.V., Citigroup Global Markets Limited and Nordea Bank ABP, Filial I Norge acting as global co-ordinators and bookrunners, while HSBC Bank plc acting as mandated lead arranger; Credit Agricole Corporate and Investment Bank acting as lead arranger and Unicredit Bank AG and National Bank of Australia Limited acting as arrangers, each of those being an original lender. The credit agreement was entered to refinance the existing indebtedness due in 2021 of six of the Group's vessels. ABN AMRO Bank N.V. was appointed by the other finance parties in this syndicate as security agent and trustee. The facility comprises of a $494,475 Term Loan Facility which amortizes over 18 equal quarterly installments of $9,349 beginning in April 2021 (following an initial repayment in January 2021 in the amount of $18,698), with a final balloon amount of $307,495 payable concurrently with the last installment in June 2025 and a $82,413 revolving loan facility which also matures in June 2025. The facility bears interest at LIBOR plus a margin. An amount of $576,888 was drawn on July 21, 2020, out of which $557,026 was used to refinance the outstanding indebtedness of GAS-</w:t>
      </w:r>
    </w:p>
    <w:p>
      <w:pPr>
        <w:spacing w:after="0" w:line="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one Ltd., GAS-two Ltd., GAS-six Ltd., GAS-nine Ltd., GAS-ten Ltd., and GAS-eighteen Ltd., the respective entities owning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Skagen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Saratoga</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Salem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Lydon Volney</w:t>
      </w:r>
      <w:r>
        <w:rPr>
          <w:rFonts w:ascii="Arial" w:cs="Arial" w:eastAsia="Arial" w:hAnsi="Arial"/>
          <w:sz w:val="18"/>
          <w:szCs w:val="18"/>
          <w:color w:val="auto"/>
        </w:rPr>
        <w:t>. The balance of the proceeds was used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and working capital purposes. The balance outstanding under the term and revolving loan facility as of December 31, 2020 is $494,475 and $82,413, respectively.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National Bank of Greece S.A. ("NBG") (GasLog Chelsea $96.8M Facility, as defined below)</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 xml:space="preserve">On July 30, 2020, GasLog-fifteen Ltd. entered into a credit agreement of $96,815 (the "GasLog Chelsea $96.8M Facility") with National Bank of Greece S.A. for the refinancing of GAS-fifteen Ltd., the entity owning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National Bank of Greece S.A. is acting as the sole original lender. An amount of $96,815 was drawn on July 31, 2020, out of which $92,153 was used to refinance the outstanding indebtedness of the </w:t>
      </w:r>
      <w:r>
        <w:rPr>
          <w:rFonts w:ascii="Arial" w:cs="Arial" w:eastAsia="Arial" w:hAnsi="Arial"/>
          <w:sz w:val="16"/>
          <w:szCs w:val="16"/>
          <w:i w:val="1"/>
          <w:iCs w:val="1"/>
          <w:color w:val="auto"/>
        </w:rPr>
        <w:t>GasLog Chelsea</w:t>
      </w:r>
      <w:r>
        <w:rPr>
          <w:rFonts w:ascii="Arial" w:cs="Arial" w:eastAsia="Arial" w:hAnsi="Arial"/>
          <w:sz w:val="16"/>
          <w:szCs w:val="16"/>
          <w:color w:val="auto"/>
        </w:rPr>
        <w:t>. The balance of the proceeds was used for general corporate and working capital purposes. The facility amortizes over 20 equal quarterly installments of $1,891 beginning in October 2020, with a final balloon amount of $58,995 payable concurrently with the last instalment in July 2025. The loan bears interest at LIBOR plus a margin. The balance outstanding as of December 31, 2020 is $94,923.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CMB Financial Leasing Co. Ltd. (GasLog Hong Kong SLB, as defined below)</w:t>
      </w:r>
    </w:p>
    <w:p>
      <w:pPr>
        <w:spacing w:after="0" w:line="231" w:lineRule="exact"/>
        <w:rPr>
          <w:sz w:val="20"/>
          <w:szCs w:val="20"/>
          <w:color w:val="auto"/>
        </w:rPr>
      </w:pPr>
    </w:p>
    <w:p>
      <w:pPr>
        <w:ind w:right="40" w:firstLine="351"/>
        <w:spacing w:after="0" w:line="308" w:lineRule="auto"/>
        <w:rPr>
          <w:sz w:val="20"/>
          <w:szCs w:val="20"/>
          <w:color w:val="auto"/>
        </w:rPr>
      </w:pPr>
      <w:r>
        <w:rPr>
          <w:rFonts w:ascii="Arial" w:cs="Arial" w:eastAsia="Arial" w:hAnsi="Arial"/>
          <w:sz w:val="15"/>
          <w:szCs w:val="15"/>
          <w:color w:val="auto"/>
        </w:rPr>
        <w:t xml:space="preserve">On October 21, 2020, GasLog refinanced through a sale-and-leaseback transaction the </w:t>
      </w:r>
      <w:r>
        <w:rPr>
          <w:rFonts w:ascii="Arial" w:cs="Arial" w:eastAsia="Arial" w:hAnsi="Arial"/>
          <w:sz w:val="15"/>
          <w:szCs w:val="15"/>
          <w:i w:val="1"/>
          <w:iCs w:val="1"/>
          <w:color w:val="auto"/>
        </w:rPr>
        <w:t>GasLog Hong Kong</w:t>
      </w:r>
      <w:r>
        <w:rPr>
          <w:rFonts w:ascii="Arial" w:cs="Arial" w:eastAsia="Arial" w:hAnsi="Arial"/>
          <w:sz w:val="15"/>
          <w:szCs w:val="15"/>
          <w:color w:val="auto"/>
        </w:rPr>
        <w:t>, a 174,000 cbm LNG carrier with X-DF propulsion built in 2018. GasLog sold the vessel to an indirectly owned subsidiary of CMB Financial Leasing Co. Ltd. the ("GasLog Hong Kong SLB"), raising $163,406 and leased it back under a bareboat charter for a period of twelve years. At the end of the period, GasLog has the option to buy the vessel for $70,000 otherwise a premium of $30,000 will be payable. GasLog can also buy back the vessel at any time by paying the capital outstanding and a prepayment fee where applicable. The amount drawn was used to refinance the outstanding indebtedness of GAS-twenty five Ltd., in the amount of $136,776. The amount drawn on October 21, 2020 is repayable in 48 quarterly installments, the first 20 installments amount to $2,670 each and the following 28 installments amount to $1,429 each, and a final balloon payment of $70,000 payable concurrently with the last quarterly installment in October 2032. Interest on the outstanding capital of the bareboat charter will be payable at a rate of LIBOR plus a margin. GasLog has the option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 The balance outstanding as of December 31, 2020 is $163,406.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covenants and guarantees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obligations under the aforementioned facilities are secured by a first priority mortgage over the vessels, a pledge or negative pledge of the share capital of the respective vessel owning companies and a first priority assignment of earnings and insurance related to the vessels, including charter revenue, management revenue and any insurance and requisition compensation. Obligations under the 2019 Partnership Facility, the GasLog Partners $260.3M Facility and the GasLog Partners $193.7M Facility are facilities guaranteed by the Partnership and GasLog Partners Holdings LLC, obligations under the October 2015 Facility are guaranteed by the Partnership and GasLog Partners Holdings LLC for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Geneva,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and by GasLog and GasLog Carriers for up to the value of the commitments on the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vessels, while obligations under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7xNB Facility, the GasLog $576.9M Facility and the GasLog Chelsea $96.8M Facility are guaranteed by GasLog and GasLog Carriers. The facilities include customary respective covenants, and among other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the GasLog Partners $193.7M Facility below 130% of the aggregate outstanding principal balance plus any hedging exposure and with respect to each individual vessel in the October 2015 Facility and the 7xNB Facility, below 115% of the outstanding principal balance of that vessel for the first two years after each drawdown and below 120% at any time thereafter). In respect to the CMB Financial Leasing transaction the minimum value threshold is 100%. In addition, under the facilities, the respective vessel-owning entities are also required to maintain at all times minimum liquidity of $1,500 per entity ($5,500 for GAS-twenty Ltd. and the equivalent of the next hire payment or $3,843 as of December 31, 2020 for GAS-twenty five Ltd.) and are in compliance as of December 31, 2020. The Group is in compliance with the required minimum security coverage as of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June 27, 2016, GasLog also completed the issuance of Norwegian Kroner ("NOK") 750,000 (equivalent to $90,150) of new senior unsecured bonds (the "NOK 2021 Bonds") in the Norwegian bond market. The NOK 2021 Bonds were due to mature in May 2021 and have a coupon of 6.9% over three-month Norwegian Interbank Offered Rate ("NIBOR"). On November 27, 2019, GasLog repurchased and cancelled NOK 316,000 of the outstanding NOK 2021 Bonds at a price of 104.75% of par value, resulting in a loss of $1,644.</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On January 31, 2020, GasLog repurchased and cancelled NOK 434,000 of the outstanding NOK 2021 Bonds at a price of 104.0% of par value, resulting in a loss of $1,937. The aforementioned repurchase was considered an extinguishment of the existing NOK 2021 Bonds, and as a result, the unamortized bond fees of $316 were written off to profit or loss for the year ended December 31, 2020.</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March 22, 2017, GasLog closed a public offering of $250,000 aggregate principal amount of the 8.875% Senior Notes at a public offering price of 100% of the principal amount. On May 16, 2019, GasLog closed a follow-on issue of $75,000 aggregate principal amount of the 8.875% Senior Notes priced at 102.5% of par with a yield to maturity of 7.89%. The gross proceeds from this offering were $76,875, including a $1,875 premium. In addition, GasLog paid $10,000 for the partial exchange of the outstanding 8.875% Senior Notes at a price of 104.75% of par value, resulting in a loss of $475 for the year ended December 31, 2019. The exchange was completed on January 13, 2020. The carrying amount under the 8.875% Senior Notes, net of unamortized financing costs and premium as of December 31, 2020, was $313,773 (December 31, 2019: $322,938).</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Interest payment on the 8.875% Senior Notes is made in arrears on a quarterly basis. GasLog may redeem the 8.875% Senior Notes, in whole or in part, at any time and from time to time at a redemption price equal to the greater of (a) 100% of the principal amount of such notes and (b) the sum of the present values of the remaining scheduled payments of principal and interest thereon (exclusive of interest accrued to but excluding the date of redemption), computed using a discount rate equal to the applicable treasury rate plus 50 basis points, plus accrued and unpaid interest thereon to the date of redemption.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November 27, 2019, GasLog completed the issuance of NOK 900,000 (equivalent to $98,550) of new senior unsecured bonds (the "NOK 2024 Bonds") in the Norwegian bond market. The NOK 2024 Bonds mature in November 2024 and bear interest at NIBOR plus margin. Interest payments are made in arrears on a quarterly basis. GasLog may redeem the aforementioned bond in whole or in part as from May 2024 at 101% of par plus accrued interests on the redeemed amount.</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carrying amount under the NOK 2024 Bonds, net of unamortized financing costs and unamortized premium, as of December 31, 2020 was $104,017 (carrying amount under the NOK 2021 Bonds and the NOK 2024 Bonds as of December 31, 2019: $149,433) while their fair value was $96,581 based on a USD/NOK exchange rate of 0.1170 as of December 31, 2020 (December 31, 2019: $157,383, based on a USD/NOK exchange rate of 0.1134).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guarantor financial covenants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financial covenants</w:t>
      </w:r>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GasLog Partners as corporate guarantor for the 2019 Partnership Facility, the GasLog Partners $260.3M Facility, the GasLog Partners $193.7M Facility and for the debt of the vessels owned by GasLog Partners under the October 2015 Facility is subject to specified financial covenants on a consolidated basis. These financial covenants include the following:</w:t>
      </w:r>
    </w:p>
    <w:p>
      <w:pPr>
        <w:spacing w:after="0" w:line="207" w:lineRule="exact"/>
        <w:rPr>
          <w:sz w:val="20"/>
          <w:szCs w:val="20"/>
          <w:color w:val="auto"/>
        </w:rPr>
      </w:pPr>
    </w:p>
    <w:p>
      <w:pPr>
        <w:ind w:left="1080" w:right="4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distributions, subject to no event of default having occurred or occurring as a consequence of the payment of such distributions.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2019 Partnership Facility, the GasLog Partners $260.3M Facility, the GasLog Partners $193.7M Facility and the October 2015 Facility also impose certain restrictions relating to GasLog Partners, including restrictions that limit its ability to make any substantial change in the nature of its business or to change the corporate structure without approval from the lenders.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2020.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GasLog's financial covenants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GasLog, as corporate guarantor for the loan facilities (except for the 2019 Partnership Facility, the GasLog Partners $260.3M Facility, the GasLog Partners $193.7M Facility and the debt of the vessels owned by GasLog Partners under the October 2015 Facility) and NOK 2024 Bonds, is subject to specified financial covenants on a consolidated basis.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financial covenants include the following:</w:t>
      </w:r>
    </w:p>
    <w:p>
      <w:pPr>
        <w:spacing w:after="0" w:line="239" w:lineRule="exact"/>
        <w:rPr>
          <w:sz w:val="20"/>
          <w:szCs w:val="20"/>
          <w:color w:val="auto"/>
        </w:rPr>
      </w:pPr>
    </w:p>
    <w:p>
      <w:pPr>
        <w:ind w:left="5460" w:right="3540" w:hanging="4912"/>
        <w:spacing w:after="0" w:line="518" w:lineRule="auto"/>
        <w:tabs>
          <w:tab w:leader="none" w:pos="10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at least $75,000;</w:t>
      </w:r>
    </w:p>
    <w:p>
      <w:pPr>
        <w:spacing w:after="0" w:line="238" w:lineRule="exact"/>
        <w:rPr>
          <w:rFonts w:ascii="Arial" w:cs="Arial" w:eastAsia="Arial" w:hAnsi="Arial"/>
          <w:sz w:val="18"/>
          <w:szCs w:val="18"/>
          <w:color w:val="auto"/>
        </w:rPr>
      </w:pPr>
    </w:p>
    <w:p>
      <w:pPr>
        <w:ind w:left="1080" w:right="280" w:hanging="532"/>
        <w:spacing w:after="0" w:line="369" w:lineRule="auto"/>
        <w:tabs>
          <w:tab w:leader="none" w:pos="108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ratio of EBITDA over debt service obligations (including interest and debt repayments) on a trailing twelve-month basis must be not less than 1.10:1 provided that such covenant is not applicable as long as all unencumbered cash and cash equivalent are not less than $110,000;</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$350,000; and</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GasLog is permitted to pay dividends, subject to no event of default having occurred or occurring as a consequence of the payment of such dividends.</w:t>
      </w:r>
    </w:p>
    <w:p>
      <w:pPr>
        <w:spacing w:after="0" w:line="186"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6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the terms of the NOK 2024 Bonds include a dividend restriction according to which GasLog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$150,000, provided that GasLog can demonstrate, by delivering a compliance certificate to the bond trustee, that no event of default is continuing or would result from such Distributions.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as corporate guarantor for the 8.875% Senior Notes, is subject to specified financial covenants on a consolidated basis.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include the following:</w:t>
      </w:r>
    </w:p>
    <w:p>
      <w:pPr>
        <w:spacing w:after="0" w:line="23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total indebtedness plus total equity divided by total assets must not exceed 75.0%;</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as defined in the respective credit facilities and the GasLog guarantees (including interest and debt repayments) on a trailing twelve months' basis must be not less than 100.0%;</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 of total indebtedness or $35,000 after the first drawdown;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Compliance with the loan financial covenants is required on a semi-annual basis while compliance with the NOK 2024 Bonds and the 8.875% Senior Notes covenants is required at all times. The Group was in compliance with all financial covenants as of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 Schedule</w:t>
      </w:r>
    </w:p>
    <w:p>
      <w:pPr>
        <w:spacing w:after="0" w:line="225"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The maturity table below reflects the principal repayments of the loans, the sale-and-leaseback transaction, the NOK 2024 Bonds and the 8.875% Senior Notes outstanding as of December 31, 2020 based on the repayment schedule of the respective loan facilities (as described above):</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As of</w:t>
            </w:r>
          </w:p>
        </w:tc>
      </w:tr>
      <w:tr>
        <w:trPr>
          <w:trHeight w:val="161"/>
        </w:trPr>
        <w:tc>
          <w:tcPr>
            <w:tcW w:w="640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December 31, 2020</w:t>
            </w: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812,825</w:t>
            </w:r>
          </w:p>
        </w:tc>
        <w:tc>
          <w:tcPr>
            <w:tcW w:w="1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1,574,258</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Later than five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1,196,364</w:t>
            </w:r>
          </w:p>
        </w:tc>
        <w:tc>
          <w:tcPr>
            <w:tcW w:w="160" w:type="dxa"/>
            <w:vAlign w:val="bottom"/>
          </w:tcPr>
          <w:p>
            <w:pPr>
              <w:spacing w:after="0"/>
              <w:rPr>
                <w:sz w:val="18"/>
                <w:szCs w:val="18"/>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3,841,709</w:t>
            </w:r>
          </w:p>
        </w:tc>
        <w:tc>
          <w:tcPr>
            <w:tcW w:w="16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interest rate for the outstanding loan facilities and bonds for the year ended December 31, 2020 was 3.72%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5.05%) excluding the fixed interest rate for the interest rate swaps where hedge accounting is not applicable (Note 26).</w:t>
      </w:r>
    </w:p>
    <w:p>
      <w:pPr>
        <w:spacing w:after="0" w:line="219"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After excluding the unamortized deferred loan issuance costs the carrying amount of the Group's bank debt recognized in the consolidated financial statements approximates its fair value since the debt bears interest at a variable interest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59,612</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Accrued off-hire</w:t>
            </w:r>
          </w:p>
        </w:tc>
        <w:tc>
          <w:tcPr>
            <w:tcW w:w="700" w:type="dxa"/>
            <w:vAlign w:val="bottom"/>
          </w:tcPr>
          <w:p>
            <w:pPr>
              <w:jc w:val="right"/>
              <w:spacing w:after="0"/>
              <w:rPr>
                <w:sz w:val="20"/>
                <w:szCs w:val="20"/>
                <w:color w:val="auto"/>
              </w:rPr>
            </w:pPr>
            <w:r>
              <w:rPr>
                <w:rFonts w:ascii="Arial" w:cs="Arial" w:eastAsia="Arial" w:hAnsi="Arial"/>
                <w:sz w:val="18"/>
                <w:szCs w:val="18"/>
                <w:color w:val="auto"/>
              </w:rPr>
              <w:t>6,968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5,886</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Accrued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36,746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33,600</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160" w:type="dxa"/>
            <w:vAlign w:val="bottom"/>
            <w:shd w:val="clear" w:color="auto" w:fill="CCEEFF"/>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136,242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143,057</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unearned revenue represents charter hires received in advance in December 2020 relating to the hire period of January 2021 for 29 vessels (December 2019: 22 vessels).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Vessel Operating and Supervision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vessel operating and supervision costs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7"/>
          </w:tcPr>
          <w:p>
            <w:pPr>
              <w:jc w:val="center"/>
              <w:ind w:left="306"/>
              <w:spacing w:after="0"/>
              <w:rPr>
                <w:sz w:val="20"/>
                <w:szCs w:val="20"/>
                <w:color w:val="auto"/>
              </w:rPr>
            </w:pPr>
            <w:r>
              <w:rPr>
                <w:rFonts w:ascii="Arial" w:cs="Arial" w:eastAsia="Arial" w:hAnsi="Arial"/>
                <w:sz w:val="13"/>
                <w:szCs w:val="13"/>
                <w:b w:val="1"/>
                <w:bCs w:val="1"/>
                <w:color w:val="auto"/>
                <w:w w:val="94"/>
              </w:rPr>
              <w:t>For the year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3"/>
                <w:szCs w:val="13"/>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6"/>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Crew wages and vessel management employee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28,694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vessel operating expenses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128,084</w:t>
            </w:r>
          </w:p>
        </w:tc>
        <w:tc>
          <w:tcPr>
            <w:tcW w:w="16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139,662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Voyage Expenses and Commissions</w:t>
            </w: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2"/>
          </w:tcPr>
          <w:p>
            <w:pPr>
              <w:ind w:left="340"/>
              <w:spacing w:after="0"/>
              <w:rPr>
                <w:sz w:val="20"/>
                <w:szCs w:val="20"/>
                <w:color w:val="auto"/>
              </w:rPr>
            </w:pPr>
            <w:r>
              <w:rPr>
                <w:rFonts w:ascii="Arial" w:cs="Arial" w:eastAsia="Arial" w:hAnsi="Arial"/>
                <w:sz w:val="18"/>
                <w:szCs w:val="18"/>
                <w:color w:val="auto"/>
              </w:rPr>
              <w:t>An analysis of voyage expenses and commissions is as follows: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gridSpan w:val="8"/>
          </w:tcPr>
          <w:p>
            <w:pPr>
              <w:jc w:val="center"/>
              <w:ind w:right="620"/>
              <w:spacing w:after="0"/>
              <w:rPr>
                <w:sz w:val="20"/>
                <w:szCs w:val="20"/>
                <w:color w:val="auto"/>
              </w:rPr>
            </w:pPr>
            <w:r>
              <w:rPr>
                <w:rFonts w:ascii="Arial" w:cs="Arial" w:eastAsia="Arial" w:hAnsi="Arial"/>
                <w:sz w:val="13"/>
                <w:szCs w:val="13"/>
                <w:b w:val="1"/>
                <w:bCs w:val="1"/>
                <w:color w:val="auto"/>
                <w:w w:val="92"/>
              </w:rPr>
              <w:t>For the year ended</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ind w:left="22"/>
              <w:spacing w:after="0" w:line="142" w:lineRule="exact"/>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Bunkers' consumption and other voyage expenses</w:t>
            </w:r>
          </w:p>
        </w:tc>
        <w:tc>
          <w:tcPr>
            <w:tcW w:w="24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12,819</w:t>
            </w:r>
          </w:p>
        </w:tc>
        <w:tc>
          <w:tcPr>
            <w:tcW w:w="1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20,374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23,772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Bunkers' consumption and other voyage expenses represent mainly bunkers consumed during vessels' unemployment and off-hire (including bunkers consumed during dry-docking).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680" w:type="dxa"/>
            <w:vAlign w:val="bottom"/>
            <w:gridSpan w:val="5"/>
          </w:tcPr>
          <w:p>
            <w:pPr>
              <w:jc w:val="center"/>
              <w:ind w:left="439"/>
              <w:spacing w:after="0"/>
              <w:rPr>
                <w:sz w:val="20"/>
                <w:szCs w:val="20"/>
                <w:color w:val="auto"/>
              </w:rPr>
            </w:pPr>
            <w:r>
              <w:rPr>
                <w:rFonts w:ascii="Arial" w:cs="Arial" w:eastAsia="Arial" w:hAnsi="Arial"/>
                <w:sz w:val="13"/>
                <w:szCs w:val="13"/>
                <w:b w:val="1"/>
                <w:bCs w:val="1"/>
                <w:color w:val="auto"/>
                <w:w w:val="92"/>
              </w:rPr>
              <w:t>For the year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24,051</w:t>
            </w:r>
          </w:p>
        </w:tc>
        <w:tc>
          <w:tcPr>
            <w:tcW w:w="1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Share-based compensation (Note 22)</w:t>
            </w:r>
          </w:p>
        </w:tc>
        <w:tc>
          <w:tcPr>
            <w:tcW w:w="620" w:type="dxa"/>
            <w:vAlign w:val="bottom"/>
          </w:tcPr>
          <w:p>
            <w:pPr>
              <w:jc w:val="right"/>
              <w:spacing w:after="0"/>
              <w:rPr>
                <w:sz w:val="20"/>
                <w:szCs w:val="20"/>
                <w:color w:val="auto"/>
              </w:rPr>
            </w:pPr>
            <w:r>
              <w:rPr>
                <w:rFonts w:ascii="Arial" w:cs="Arial" w:eastAsia="Arial" w:hAnsi="Arial"/>
                <w:sz w:val="18"/>
                <w:szCs w:val="18"/>
                <w:color w:val="auto"/>
              </w:rPr>
              <w:t>5,216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5,486</w:t>
            </w:r>
          </w:p>
        </w:tc>
        <w:tc>
          <w:tcPr>
            <w:tcW w:w="1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17,712</w:t>
            </w:r>
          </w:p>
        </w:tc>
        <w:tc>
          <w:tcPr>
            <w:tcW w:w="160" w:type="dxa"/>
            <w:vAlign w:val="bottom"/>
            <w:shd w:val="clear" w:color="auto" w:fill="CCEEFF"/>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41,993</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47,385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47,249</w:t>
            </w:r>
          </w:p>
        </w:tc>
        <w:tc>
          <w:tcPr>
            <w:tcW w:w="16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General and administrative expenses include restructuring costs comprising of termination benefits, accelerated amortization for stock plan and restructuring obligation, of $5,312 for the year ended December 31, 2020 ($4,702 for the year ended December 31, 2019) pursuant to management's decision to relocate more of its employees including several members of senior management to the Piraeus, Greece office and to close the Stamford, Connecticut office.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Revenues from Contracts with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has recognized the following amounts relating to revenues: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820" w:type="dxa"/>
            <w:vAlign w:val="bottom"/>
            <w:gridSpan w:val="5"/>
          </w:tcPr>
          <w:p>
            <w:pPr>
              <w:jc w:val="center"/>
              <w:ind w:left="518"/>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long-term fleet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508,778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462,887</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spot fleet</w:t>
            </w:r>
          </w:p>
        </w:tc>
        <w:tc>
          <w:tcPr>
            <w:tcW w:w="700" w:type="dxa"/>
            <w:vAlign w:val="bottom"/>
          </w:tcPr>
          <w:p>
            <w:pPr>
              <w:jc w:val="right"/>
              <w:spacing w:after="0"/>
              <w:rPr>
                <w:sz w:val="20"/>
                <w:szCs w:val="20"/>
                <w:color w:val="auto"/>
              </w:rPr>
            </w:pPr>
            <w:r>
              <w:rPr>
                <w:rFonts w:ascii="Arial" w:cs="Arial" w:eastAsia="Arial" w:hAnsi="Arial"/>
                <w:sz w:val="18"/>
                <w:szCs w:val="18"/>
                <w:color w:val="auto"/>
              </w:rPr>
              <w:t>38,909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113,822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210,390</w:t>
            </w:r>
          </w:p>
        </w:tc>
        <w:tc>
          <w:tcPr>
            <w:tcW w:w="1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The Cool Pool Limited (GasLog vessels)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vessel management services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618,344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668,637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674,089</w:t>
            </w:r>
          </w:p>
        </w:tc>
        <w:tc>
          <w:tcPr>
            <w:tcW w:w="1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Revenues from The Cool Pool Limited relate only to the pool revenues received from GasLog's vessels operating in the Cool Pool and do not include the Net pool allocation to GasLog of ($4,264) for the year ended December 31, 2019 and $17,818 for the year ended December 31, 2018, which is recorded as a separate line item in the Profit or Loss Statement.</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Management allocates vessel revenues to two categories: a) spot fleet and b) long-term fleet, which reflects its commercial strategy. Specifically,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costs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20" w:type="dxa"/>
            <w:vAlign w:val="bottom"/>
            <w:gridSpan w:val="5"/>
          </w:tcPr>
          <w:p>
            <w:pPr>
              <w:jc w:val="center"/>
              <w:ind w:left="516"/>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3"/>
                <w:szCs w:val="13"/>
                <w:b w:val="1"/>
                <w:bCs w:val="1"/>
                <w:color w:val="auto"/>
              </w:rPr>
              <w:t>2018</w:t>
            </w:r>
          </w:p>
        </w:tc>
        <w:tc>
          <w:tcPr>
            <w:tcW w:w="860" w:type="dxa"/>
            <w:vAlign w:val="bottom"/>
            <w:gridSpan w:val="2"/>
          </w:tcPr>
          <w:p>
            <w:pPr>
              <w:jc w:val="center"/>
              <w:ind w:left="97"/>
              <w:spacing w:after="0" w:line="142"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Financial Costs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loan/bond issuance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00" w:type="dxa"/>
            <w:vAlign w:val="bottom"/>
          </w:tcPr>
          <w:p>
            <w:pPr>
              <w:spacing w:after="0"/>
              <w:rPr>
                <w:sz w:val="19"/>
                <w:szCs w:val="19"/>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costs/premium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w:t>
            </w:r>
          </w:p>
        </w:tc>
        <w:tc>
          <w:tcPr>
            <w:tcW w:w="160" w:type="dxa"/>
            <w:vAlign w:val="bottom"/>
            <w:shd w:val="clear" w:color="auto" w:fill="CCEEFF"/>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700" w:type="dxa"/>
            <w:vAlign w:val="bottom"/>
          </w:tcPr>
          <w:p>
            <w:pPr>
              <w:jc w:val="right"/>
              <w:spacing w:after="0"/>
              <w:rPr>
                <w:sz w:val="20"/>
                <w:szCs w:val="20"/>
                <w:color w:val="auto"/>
              </w:rPr>
            </w:pPr>
            <w:r>
              <w:rPr>
                <w:rFonts w:ascii="Arial" w:cs="Arial" w:eastAsia="Arial" w:hAnsi="Arial"/>
                <w:sz w:val="18"/>
                <w:szCs w:val="18"/>
                <w:color w:val="auto"/>
              </w:rPr>
              <w:t>111,600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122,819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93,860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bonds and realized loss on CCSs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Lease charge</w:t>
            </w:r>
          </w:p>
        </w:tc>
        <w:tc>
          <w:tcPr>
            <w:tcW w:w="700" w:type="dxa"/>
            <w:vAlign w:val="bottom"/>
          </w:tcPr>
          <w:p>
            <w:pPr>
              <w:jc w:val="right"/>
              <w:spacing w:after="0"/>
              <w:rPr>
                <w:sz w:val="20"/>
                <w:szCs w:val="20"/>
                <w:color w:val="auto"/>
              </w:rPr>
            </w:pPr>
            <w:r>
              <w:rPr>
                <w:rFonts w:ascii="Arial" w:cs="Arial" w:eastAsia="Arial" w:hAnsi="Arial"/>
                <w:sz w:val="18"/>
                <w:szCs w:val="18"/>
                <w:color w:val="auto"/>
              </w:rPr>
              <w:t>10,520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bond repurchases at a premium (Note 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financial costs, net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165,281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60" w:type="dxa"/>
            <w:vAlign w:val="bottom"/>
            <w:vMerge w:val="restart"/>
          </w:tcPr>
          <w:p>
            <w:pPr>
              <w:ind w:left="3760"/>
              <w:spacing w:after="0"/>
              <w:rPr>
                <w:sz w:val="20"/>
                <w:szCs w:val="20"/>
                <w:color w:val="auto"/>
              </w:rPr>
            </w:pPr>
            <w:r>
              <w:rPr>
                <w:rFonts w:ascii="Arial" w:cs="Arial" w:eastAsia="Arial" w:hAnsi="Arial"/>
                <w:sz w:val="18"/>
                <w:szCs w:val="18"/>
                <w:color w:val="auto"/>
              </w:rPr>
              <w:t>F-57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had the following balances with related parties which have been included in the consolidated statements of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5"/>
          </w:tcPr>
          <w:p>
            <w:pPr>
              <w:ind w:left="400"/>
              <w:spacing w:after="0"/>
              <w:rPr>
                <w:sz w:val="20"/>
                <w:szCs w:val="20"/>
                <w:color w:val="auto"/>
              </w:rPr>
            </w:pPr>
            <w:r>
              <w:rPr>
                <w:rFonts w:ascii="Arial" w:cs="Arial" w:eastAsia="Arial" w:hAnsi="Arial"/>
                <w:sz w:val="13"/>
                <w:szCs w:val="13"/>
                <w:b w:val="1"/>
                <w:bCs w:val="1"/>
                <w:color w:val="auto"/>
                <w:w w:val="86"/>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ind w:left="1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3"/>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from associate (Note 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450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receivables</w:t>
            </w:r>
          </w:p>
        </w:tc>
        <w:tc>
          <w:tcPr>
            <w:tcW w:w="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79"/>
              </w:rPr>
              <w:t>123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573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5"/>
          </w:tcPr>
          <w:p>
            <w:pPr>
              <w:ind w:left="400"/>
              <w:spacing w:after="0"/>
              <w:rPr>
                <w:sz w:val="20"/>
                <w:szCs w:val="20"/>
                <w:color w:val="auto"/>
              </w:rPr>
            </w:pPr>
            <w:r>
              <w:rPr>
                <w:rFonts w:ascii="Arial" w:cs="Arial" w:eastAsia="Arial" w:hAnsi="Arial"/>
                <w:sz w:val="13"/>
                <w:szCs w:val="13"/>
                <w:b w:val="1"/>
                <w:bCs w:val="1"/>
                <w:color w:val="auto"/>
                <w:w w:val="86"/>
              </w:rPr>
              <w:t>As of</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tcPr>
          <w:p>
            <w:pPr>
              <w:ind w:left="1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creditors</w:t>
            </w:r>
          </w:p>
        </w:tc>
        <w:tc>
          <w:tcPr>
            <w:tcW w:w="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60" w:type="dxa"/>
            <w:vAlign w:val="bottom"/>
            <w:gridSpan w:val="3"/>
          </w:tcPr>
          <w:p>
            <w:pPr>
              <w:ind w:left="200"/>
              <w:spacing w:after="0"/>
              <w:rPr>
                <w:sz w:val="20"/>
                <w:szCs w:val="20"/>
                <w:color w:val="auto"/>
              </w:rPr>
            </w:pPr>
            <w:r>
              <w:rPr>
                <w:rFonts w:ascii="Arial" w:cs="Arial" w:eastAsia="Arial" w:hAnsi="Arial"/>
                <w:sz w:val="18"/>
                <w:szCs w:val="18"/>
                <w:color w:val="auto"/>
                <w:w w:val="79"/>
              </w:rPr>
              <w:t>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Amounts due to related parties of $164 as of December 31, 2020 (December 31, 2019: $200) are expenses paid by a related party on behalf of the Group and payables to other related parties for the office lease and other operating expenses.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Group had the following transactions with related parties which have been included in the consolidated statements of profit or loss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2019 and 2020:</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ind w:left="760"/>
              <w:spacing w:after="0"/>
              <w:rPr>
                <w:sz w:val="20"/>
                <w:szCs w:val="20"/>
                <w:color w:val="auto"/>
              </w:rPr>
            </w:pPr>
            <w:r>
              <w:rPr>
                <w:rFonts w:ascii="Arial" w:cs="Arial" w:eastAsia="Arial" w:hAnsi="Arial"/>
                <w:sz w:val="13"/>
                <w:szCs w:val="13"/>
                <w:b w:val="1"/>
                <w:bCs w:val="1"/>
                <w:color w:val="auto"/>
              </w:rPr>
              <w:t>Statement of</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0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2060" w:type="dxa"/>
            <w:vAlign w:val="bottom"/>
          </w:tcPr>
          <w:p>
            <w:pPr>
              <w:ind w:left="840"/>
              <w:spacing w:after="0"/>
              <w:rPr>
                <w:sz w:val="20"/>
                <w:szCs w:val="20"/>
                <w:color w:val="auto"/>
              </w:rPr>
            </w:pPr>
            <w:r>
              <w:rPr>
                <w:rFonts w:ascii="Arial" w:cs="Arial" w:eastAsia="Arial" w:hAnsi="Arial"/>
                <w:sz w:val="13"/>
                <w:szCs w:val="13"/>
                <w:b w:val="1"/>
                <w:bCs w:val="1"/>
                <w:color w:val="auto"/>
              </w:rPr>
              <w:t>Details</w:t>
            </w:r>
          </w:p>
        </w:tc>
        <w:tc>
          <w:tcPr>
            <w:tcW w:w="160" w:type="dxa"/>
            <w:vAlign w:val="bottom"/>
          </w:tcPr>
          <w:p>
            <w:pPr>
              <w:spacing w:after="0"/>
              <w:rPr>
                <w:sz w:val="14"/>
                <w:szCs w:val="14"/>
                <w:color w:val="auto"/>
              </w:rPr>
            </w:pPr>
          </w:p>
        </w:tc>
        <w:tc>
          <w:tcPr>
            <w:tcW w:w="2260" w:type="dxa"/>
            <w:vAlign w:val="bottom"/>
          </w:tcPr>
          <w:p>
            <w:pPr>
              <w:ind w:left="680"/>
              <w:spacing w:after="0"/>
              <w:rPr>
                <w:sz w:val="20"/>
                <w:szCs w:val="20"/>
                <w:color w:val="auto"/>
              </w:rPr>
            </w:pPr>
            <w:r>
              <w:rPr>
                <w:rFonts w:ascii="Arial" w:cs="Arial" w:eastAsia="Arial" w:hAnsi="Arial"/>
                <w:sz w:val="13"/>
                <w:szCs w:val="13"/>
                <w:b w:val="1"/>
                <w:bCs w:val="1"/>
                <w:color w:val="auto"/>
              </w:rPr>
              <w:t>income account</w:t>
            </w:r>
          </w:p>
        </w:tc>
        <w:tc>
          <w:tcPr>
            <w:tcW w:w="740" w:type="dxa"/>
            <w:vAlign w:val="bottom"/>
            <w:gridSpan w:val="2"/>
          </w:tcPr>
          <w:p>
            <w:pPr>
              <w:jc w:val="right"/>
              <w:ind w:right="9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(a)</w:t>
            </w:r>
          </w:p>
        </w:tc>
        <w:tc>
          <w:tcPr>
            <w:tcW w:w="21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Egypt LNG Shipping Ltd.</w:t>
            </w: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Vessel management services</w:t>
            </w:r>
          </w:p>
        </w:tc>
        <w:tc>
          <w:tcPr>
            <w:tcW w:w="1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Revenues</w:t>
            </w:r>
          </w:p>
        </w:tc>
        <w:tc>
          <w:tcPr>
            <w:tcW w:w="90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(703)</w:t>
            </w: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(703)</w:t>
            </w: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(703)</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(a)</w:t>
            </w:r>
          </w:p>
        </w:tc>
        <w:tc>
          <w:tcPr>
            <w:tcW w:w="2100" w:type="dxa"/>
            <w:vAlign w:val="bottom"/>
            <w:gridSpan w:val="2"/>
          </w:tcPr>
          <w:p>
            <w:pPr>
              <w:spacing w:after="0"/>
              <w:rPr>
                <w:sz w:val="20"/>
                <w:szCs w:val="20"/>
                <w:color w:val="auto"/>
              </w:rPr>
            </w:pPr>
            <w:r>
              <w:rPr>
                <w:rFonts w:ascii="Arial" w:cs="Arial" w:eastAsia="Arial" w:hAnsi="Arial"/>
                <w:sz w:val="13"/>
                <w:szCs w:val="13"/>
                <w:color w:val="auto"/>
              </w:rPr>
              <w:t>Egypt LNG Shipping Ltd.</w:t>
            </w:r>
          </w:p>
        </w:tc>
        <w:tc>
          <w:tcPr>
            <w:tcW w:w="2060" w:type="dxa"/>
            <w:vAlign w:val="bottom"/>
          </w:tcPr>
          <w:p>
            <w:pPr>
              <w:spacing w:after="0"/>
              <w:rPr>
                <w:sz w:val="20"/>
                <w:szCs w:val="20"/>
                <w:color w:val="auto"/>
              </w:rPr>
            </w:pPr>
            <w:r>
              <w:rPr>
                <w:rFonts w:ascii="Arial" w:cs="Arial" w:eastAsia="Arial" w:hAnsi="Arial"/>
                <w:sz w:val="13"/>
                <w:szCs w:val="13"/>
                <w:color w:val="auto"/>
              </w:rPr>
              <w:t>Sale of office property</w:t>
            </w:r>
          </w:p>
        </w:tc>
        <w:tc>
          <w:tcPr>
            <w:tcW w:w="16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Loss on disposal of non-current assets</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572</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Office rent and utilities</w:t>
            </w:r>
          </w:p>
        </w:tc>
        <w:tc>
          <w:tcPr>
            <w:tcW w:w="1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478</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(b)</w:t>
            </w:r>
          </w:p>
        </w:tc>
        <w:tc>
          <w:tcPr>
            <w:tcW w:w="2100" w:type="dxa"/>
            <w:vAlign w:val="bottom"/>
            <w:gridSpan w:val="2"/>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tcPr>
          <w:p>
            <w:pPr>
              <w:spacing w:after="0"/>
              <w:rPr>
                <w:sz w:val="20"/>
                <w:szCs w:val="20"/>
                <w:color w:val="auto"/>
              </w:rPr>
            </w:pPr>
            <w:r>
              <w:rPr>
                <w:rFonts w:ascii="Arial" w:cs="Arial" w:eastAsia="Arial" w:hAnsi="Arial"/>
                <w:sz w:val="13"/>
                <w:szCs w:val="13"/>
                <w:color w:val="auto"/>
              </w:rPr>
              <w:t>Office rent</w:t>
            </w:r>
          </w:p>
        </w:tc>
        <w:tc>
          <w:tcPr>
            <w:tcW w:w="16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Financial costs/Depreciation</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642</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669</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Other office services</w:t>
            </w:r>
          </w:p>
        </w:tc>
        <w:tc>
          <w:tcPr>
            <w:tcW w:w="1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(c)</w:t>
            </w:r>
          </w:p>
        </w:tc>
        <w:tc>
          <w:tcPr>
            <w:tcW w:w="2100" w:type="dxa"/>
            <w:vAlign w:val="bottom"/>
            <w:gridSpan w:val="2"/>
          </w:tcPr>
          <w:p>
            <w:pPr>
              <w:spacing w:after="0"/>
              <w:rPr>
                <w:sz w:val="20"/>
                <w:szCs w:val="20"/>
                <w:color w:val="auto"/>
              </w:rPr>
            </w:pPr>
            <w:r>
              <w:rPr>
                <w:rFonts w:ascii="Arial" w:cs="Arial" w:eastAsia="Arial" w:hAnsi="Arial"/>
                <w:sz w:val="13"/>
                <w:szCs w:val="13"/>
                <w:color w:val="auto"/>
              </w:rPr>
              <w:t>Seres S.A.</w:t>
            </w:r>
          </w:p>
        </w:tc>
        <w:tc>
          <w:tcPr>
            <w:tcW w:w="2060" w:type="dxa"/>
            <w:vAlign w:val="bottom"/>
          </w:tcPr>
          <w:p>
            <w:pPr>
              <w:spacing w:after="0"/>
              <w:rPr>
                <w:sz w:val="20"/>
                <w:szCs w:val="20"/>
                <w:color w:val="auto"/>
              </w:rPr>
            </w:pPr>
            <w:r>
              <w:rPr>
                <w:rFonts w:ascii="Arial" w:cs="Arial" w:eastAsia="Arial" w:hAnsi="Arial"/>
                <w:sz w:val="13"/>
                <w:szCs w:val="13"/>
                <w:color w:val="auto"/>
              </w:rPr>
              <w:t>Catering services</w:t>
            </w:r>
          </w:p>
        </w:tc>
        <w:tc>
          <w:tcPr>
            <w:tcW w:w="16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372</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361</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268</w:t>
            </w:r>
          </w:p>
        </w:tc>
      </w:tr>
      <w:tr>
        <w:trPr>
          <w:trHeight w:val="149"/>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Seres S.A.</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Consultancy services</w:t>
            </w:r>
          </w:p>
        </w:tc>
        <w:tc>
          <w:tcPr>
            <w:tcW w:w="1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(d)</w:t>
            </w:r>
          </w:p>
        </w:tc>
        <w:tc>
          <w:tcPr>
            <w:tcW w:w="2100" w:type="dxa"/>
            <w:vAlign w:val="bottom"/>
            <w:gridSpan w:val="2"/>
          </w:tcPr>
          <w:p>
            <w:pPr>
              <w:spacing w:after="0"/>
              <w:rPr>
                <w:sz w:val="20"/>
                <w:szCs w:val="20"/>
                <w:color w:val="auto"/>
              </w:rPr>
            </w:pPr>
            <w:r>
              <w:rPr>
                <w:rFonts w:ascii="Arial" w:cs="Arial" w:eastAsia="Arial" w:hAnsi="Arial"/>
                <w:sz w:val="13"/>
                <w:szCs w:val="13"/>
                <w:color w:val="auto"/>
              </w:rPr>
              <w:t>Chartwell Management Inc.</w:t>
            </w:r>
          </w:p>
        </w:tc>
        <w:tc>
          <w:tcPr>
            <w:tcW w:w="2060" w:type="dxa"/>
            <w:vAlign w:val="bottom"/>
          </w:tcPr>
          <w:p>
            <w:pPr>
              <w:spacing w:after="0"/>
              <w:rPr>
                <w:sz w:val="20"/>
                <w:szCs w:val="20"/>
                <w:color w:val="auto"/>
              </w:rPr>
            </w:pPr>
            <w:r>
              <w:rPr>
                <w:rFonts w:ascii="Arial" w:cs="Arial" w:eastAsia="Arial" w:hAnsi="Arial"/>
                <w:sz w:val="13"/>
                <w:szCs w:val="13"/>
                <w:color w:val="auto"/>
              </w:rPr>
              <w:t>Travel expenses</w:t>
            </w:r>
          </w:p>
        </w:tc>
        <w:tc>
          <w:tcPr>
            <w:tcW w:w="160" w:type="dxa"/>
            <w:vAlign w:val="bottom"/>
          </w:tcPr>
          <w:p>
            <w:pPr>
              <w:spacing w:after="0"/>
              <w:rPr>
                <w:sz w:val="12"/>
                <w:szCs w:val="12"/>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284</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2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Ceres Monaco S.A.M.</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Professional services</w:t>
            </w:r>
          </w:p>
        </w:tc>
        <w:tc>
          <w:tcPr>
            <w:tcW w:w="1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144</w:t>
            </w:r>
          </w:p>
        </w:tc>
      </w:tr>
      <w:tr>
        <w:trPr>
          <w:trHeight w:val="150"/>
        </w:trPr>
        <w:tc>
          <w:tcPr>
            <w:tcW w:w="400" w:type="dxa"/>
            <w:vAlign w:val="bottom"/>
          </w:tcPr>
          <w:p>
            <w:pPr>
              <w:ind w:left="20"/>
              <w:spacing w:after="0"/>
              <w:rPr>
                <w:sz w:val="20"/>
                <w:szCs w:val="20"/>
                <w:color w:val="auto"/>
              </w:rPr>
            </w:pPr>
            <w:r>
              <w:rPr>
                <w:rFonts w:ascii="Arial" w:cs="Arial" w:eastAsia="Arial" w:hAnsi="Arial"/>
                <w:sz w:val="13"/>
                <w:szCs w:val="13"/>
                <w:color w:val="auto"/>
              </w:rPr>
              <w:t>(e)</w:t>
            </w:r>
          </w:p>
        </w:tc>
        <w:tc>
          <w:tcPr>
            <w:tcW w:w="2100" w:type="dxa"/>
            <w:vAlign w:val="bottom"/>
            <w:gridSpan w:val="2"/>
          </w:tcPr>
          <w:p>
            <w:pPr>
              <w:spacing w:after="0"/>
              <w:rPr>
                <w:sz w:val="20"/>
                <w:szCs w:val="20"/>
                <w:color w:val="auto"/>
              </w:rPr>
            </w:pPr>
            <w:r>
              <w:rPr>
                <w:rFonts w:ascii="Arial" w:cs="Arial" w:eastAsia="Arial" w:hAnsi="Arial"/>
                <w:sz w:val="13"/>
                <w:szCs w:val="13"/>
                <w:color w:val="auto"/>
              </w:rPr>
              <w:t>Ceres Monaco S.A.M.</w:t>
            </w:r>
          </w:p>
        </w:tc>
        <w:tc>
          <w:tcPr>
            <w:tcW w:w="2060" w:type="dxa"/>
            <w:vAlign w:val="bottom"/>
          </w:tcPr>
          <w:p>
            <w:pPr>
              <w:spacing w:after="0"/>
              <w:rPr>
                <w:sz w:val="20"/>
                <w:szCs w:val="20"/>
                <w:color w:val="auto"/>
              </w:rPr>
            </w:pPr>
            <w:r>
              <w:rPr>
                <w:rFonts w:ascii="Arial" w:cs="Arial" w:eastAsia="Arial" w:hAnsi="Arial"/>
                <w:sz w:val="13"/>
                <w:szCs w:val="13"/>
                <w:color w:val="auto"/>
              </w:rPr>
              <w:t>Travel expenses</w:t>
            </w:r>
          </w:p>
        </w:tc>
        <w:tc>
          <w:tcPr>
            <w:tcW w:w="160" w:type="dxa"/>
            <w:vAlign w:val="bottom"/>
          </w:tcPr>
          <w:p>
            <w:pPr>
              <w:spacing w:after="0"/>
              <w:rPr>
                <w:sz w:val="13"/>
                <w:szCs w:val="13"/>
                <w:color w:val="auto"/>
              </w:rPr>
            </w:pPr>
          </w:p>
        </w:tc>
        <w:tc>
          <w:tcPr>
            <w:tcW w:w="226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13</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0</wp:posOffset>
            </wp:positionV>
            <wp:extent cx="576897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5768975" cy="188595"/>
                    </a:xfrm>
                    <a:prstGeom prst="rect">
                      <a:avLst/>
                    </a:prstGeom>
                    <a:noFill/>
                  </pic:spPr>
                </pic:pic>
              </a:graphicData>
            </a:graphic>
          </wp:anchor>
        </w:drawing>
      </w:r>
    </w:p>
    <w:p>
      <w:pPr>
        <w:ind w:left="1520" w:hanging="389"/>
        <w:spacing w:after="0"/>
        <w:tabs>
          <w:tab w:leader="none" w:pos="15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Papadimitriou and Partners</w:t>
      </w:r>
    </w:p>
    <w:tbl>
      <w:tblPr>
        <w:tblLayout w:type="fixed"/>
        <w:tblInd w:w="1120" w:type="dxa"/>
        <w:tblCellMar>
          <w:top w:w="0" w:type="dxa"/>
          <w:left w:w="0" w:type="dxa"/>
          <w:bottom w:w="0" w:type="dxa"/>
          <w:right w:w="0" w:type="dxa"/>
        </w:tblCellMar>
      </w:tblPr>
      <w:tr>
        <w:trPr>
          <w:trHeight w:val="137"/>
        </w:trPr>
        <w:tc>
          <w:tcPr>
            <w:tcW w:w="280" w:type="dxa"/>
            <w:vAlign w:val="bottom"/>
          </w:tcPr>
          <w:p>
            <w:pPr>
              <w:spacing w:after="0"/>
              <w:rPr>
                <w:sz w:val="11"/>
                <w:szCs w:val="11"/>
                <w:color w:val="auto"/>
              </w:rPr>
            </w:pPr>
          </w:p>
        </w:tc>
        <w:tc>
          <w:tcPr>
            <w:tcW w:w="1800" w:type="dxa"/>
            <w:vAlign w:val="bottom"/>
            <w:gridSpan w:val="2"/>
          </w:tcPr>
          <w:p>
            <w:pPr>
              <w:ind w:left="260"/>
              <w:spacing w:after="0" w:line="137" w:lineRule="exact"/>
              <w:rPr>
                <w:sz w:val="20"/>
                <w:szCs w:val="20"/>
                <w:color w:val="auto"/>
              </w:rPr>
            </w:pPr>
            <w:r>
              <w:rPr>
                <w:rFonts w:ascii="Arial" w:cs="Arial" w:eastAsia="Arial" w:hAnsi="Arial"/>
                <w:sz w:val="13"/>
                <w:szCs w:val="13"/>
                <w:color w:val="auto"/>
              </w:rPr>
              <w:t>Law Firm</w:t>
            </w:r>
          </w:p>
        </w:tc>
        <w:tc>
          <w:tcPr>
            <w:tcW w:w="2460" w:type="dxa"/>
            <w:vAlign w:val="bottom"/>
          </w:tcPr>
          <w:p>
            <w:pPr>
              <w:ind w:left="420"/>
              <w:spacing w:after="0" w:line="137" w:lineRule="exact"/>
              <w:rPr>
                <w:sz w:val="20"/>
                <w:szCs w:val="20"/>
                <w:color w:val="auto"/>
              </w:rPr>
            </w:pPr>
            <w:r>
              <w:rPr>
                <w:rFonts w:ascii="Arial" w:cs="Arial" w:eastAsia="Arial" w:hAnsi="Arial"/>
                <w:sz w:val="13"/>
                <w:szCs w:val="13"/>
                <w:color w:val="auto"/>
              </w:rPr>
              <w:t>Professional services</w:t>
            </w:r>
          </w:p>
        </w:tc>
        <w:tc>
          <w:tcPr>
            <w:tcW w:w="2440" w:type="dxa"/>
            <w:vAlign w:val="bottom"/>
          </w:tcPr>
          <w:p>
            <w:pPr>
              <w:ind w:left="180"/>
              <w:spacing w:after="0" w:line="137" w:lineRule="exact"/>
              <w:rPr>
                <w:sz w:val="20"/>
                <w:szCs w:val="20"/>
                <w:color w:val="auto"/>
              </w:rPr>
            </w:pPr>
            <w:r>
              <w:rPr>
                <w:rFonts w:ascii="Arial" w:cs="Arial" w:eastAsia="Arial" w:hAnsi="Arial"/>
                <w:sz w:val="13"/>
                <w:szCs w:val="13"/>
                <w:color w:val="auto"/>
              </w:rPr>
              <w:t>General and administrative expenses</w:t>
            </w:r>
          </w:p>
        </w:tc>
        <w:tc>
          <w:tcPr>
            <w:tcW w:w="900" w:type="dxa"/>
            <w:vAlign w:val="bottom"/>
          </w:tcPr>
          <w:p>
            <w:pPr>
              <w:jc w:val="right"/>
              <w:ind w:right="93"/>
              <w:spacing w:after="0" w:line="137" w:lineRule="exact"/>
              <w:rPr>
                <w:sz w:val="20"/>
                <w:szCs w:val="20"/>
                <w:color w:val="auto"/>
              </w:rPr>
            </w:pPr>
            <w:r>
              <w:rPr>
                <w:rFonts w:ascii="Arial" w:cs="Arial" w:eastAsia="Arial" w:hAnsi="Arial"/>
                <w:sz w:val="13"/>
                <w:szCs w:val="13"/>
                <w:color w:val="auto"/>
              </w:rPr>
              <w:t>4</w:t>
            </w:r>
          </w:p>
        </w:tc>
        <w:tc>
          <w:tcPr>
            <w:tcW w:w="740" w:type="dxa"/>
            <w:vAlign w:val="bottom"/>
          </w:tcPr>
          <w:p>
            <w:pPr>
              <w:jc w:val="right"/>
              <w:ind w:right="153"/>
              <w:spacing w:after="0" w:line="137"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93"/>
              <w:spacing w:after="0" w:line="137" w:lineRule="exact"/>
              <w:rPr>
                <w:sz w:val="20"/>
                <w:szCs w:val="20"/>
                <w:color w:val="auto"/>
              </w:rPr>
            </w:pPr>
            <w:r>
              <w:rPr>
                <w:rFonts w:ascii="Arial" w:cs="Arial" w:eastAsia="Arial" w:hAnsi="Arial"/>
                <w:sz w:val="13"/>
                <w:szCs w:val="13"/>
                <w:color w:val="auto"/>
              </w:rPr>
              <w:t>—</w:t>
            </w:r>
          </w:p>
        </w:tc>
      </w:tr>
      <w:tr>
        <w:trPr>
          <w:trHeight w:val="159"/>
        </w:trPr>
        <w:tc>
          <w:tcPr>
            <w:tcW w:w="280" w:type="dxa"/>
            <w:vAlign w:val="bottom"/>
          </w:tcPr>
          <w:p>
            <w:pPr>
              <w:ind w:left="20"/>
              <w:spacing w:after="0"/>
              <w:rPr>
                <w:sz w:val="20"/>
                <w:szCs w:val="20"/>
                <w:color w:val="auto"/>
              </w:rPr>
            </w:pPr>
            <w:r>
              <w:rPr>
                <w:rFonts w:ascii="Arial" w:cs="Arial" w:eastAsia="Arial" w:hAnsi="Arial"/>
                <w:sz w:val="13"/>
                <w:szCs w:val="13"/>
                <w:color w:val="auto"/>
              </w:rPr>
              <w:t>(g)</w:t>
            </w:r>
          </w:p>
        </w:tc>
        <w:tc>
          <w:tcPr>
            <w:tcW w:w="1800" w:type="dxa"/>
            <w:vAlign w:val="bottom"/>
            <w:gridSpan w:val="2"/>
          </w:tcPr>
          <w:p>
            <w:pPr>
              <w:ind w:left="120"/>
              <w:spacing w:after="0"/>
              <w:rPr>
                <w:sz w:val="20"/>
                <w:szCs w:val="20"/>
                <w:color w:val="auto"/>
              </w:rPr>
            </w:pPr>
            <w:r>
              <w:rPr>
                <w:rFonts w:ascii="Arial" w:cs="Arial" w:eastAsia="Arial" w:hAnsi="Arial"/>
                <w:sz w:val="13"/>
                <w:szCs w:val="13"/>
                <w:color w:val="auto"/>
              </w:rPr>
              <w:t>The Cool Pool Limited</w:t>
            </w:r>
          </w:p>
        </w:tc>
        <w:tc>
          <w:tcPr>
            <w:tcW w:w="2460" w:type="dxa"/>
            <w:vAlign w:val="bottom"/>
          </w:tcPr>
          <w:p>
            <w:pPr>
              <w:ind w:left="420"/>
              <w:spacing w:after="0"/>
              <w:rPr>
                <w:sz w:val="20"/>
                <w:szCs w:val="20"/>
                <w:color w:val="auto"/>
              </w:rPr>
            </w:pPr>
            <w:r>
              <w:rPr>
                <w:rFonts w:ascii="Arial" w:cs="Arial" w:eastAsia="Arial" w:hAnsi="Arial"/>
                <w:sz w:val="13"/>
                <w:szCs w:val="13"/>
                <w:color w:val="auto"/>
              </w:rPr>
              <w:t>Pool gross revenues</w:t>
            </w:r>
          </w:p>
        </w:tc>
        <w:tc>
          <w:tcPr>
            <w:tcW w:w="2440" w:type="dxa"/>
            <w:vAlign w:val="bottom"/>
          </w:tcPr>
          <w:p>
            <w:pPr>
              <w:ind w:left="180"/>
              <w:spacing w:after="0"/>
              <w:rPr>
                <w:sz w:val="20"/>
                <w:szCs w:val="20"/>
                <w:color w:val="auto"/>
              </w:rPr>
            </w:pPr>
            <w:r>
              <w:rPr>
                <w:rFonts w:ascii="Arial" w:cs="Arial" w:eastAsia="Arial" w:hAnsi="Arial"/>
                <w:sz w:val="13"/>
                <w:szCs w:val="13"/>
                <w:color w:val="auto"/>
              </w:rPr>
              <w:t>Revenues</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(102,253)</w:t>
            </w: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(45,253)</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Cool Pool Limited</w:t>
            </w:r>
          </w:p>
        </w:tc>
        <w:tc>
          <w:tcPr>
            <w:tcW w:w="2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Pool gross bunkers</w:t>
            </w:r>
          </w:p>
        </w:tc>
        <w:tc>
          <w:tcPr>
            <w:tcW w:w="2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Voyage expenses and commissions</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8,908</w:t>
            </w: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7,255</w:t>
            </w:r>
          </w:p>
        </w:tc>
        <w:tc>
          <w:tcPr>
            <w:tcW w:w="4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(g)</w:t>
            </w:r>
          </w:p>
        </w:tc>
        <w:tc>
          <w:tcPr>
            <w:tcW w:w="1800" w:type="dxa"/>
            <w:vAlign w:val="bottom"/>
            <w:gridSpan w:val="2"/>
          </w:tcPr>
          <w:p>
            <w:pPr>
              <w:ind w:left="120"/>
              <w:spacing w:after="0"/>
              <w:rPr>
                <w:sz w:val="20"/>
                <w:szCs w:val="20"/>
                <w:color w:val="auto"/>
              </w:rPr>
            </w:pPr>
            <w:r>
              <w:rPr>
                <w:rFonts w:ascii="Arial" w:cs="Arial" w:eastAsia="Arial" w:hAnsi="Arial"/>
                <w:sz w:val="13"/>
                <w:szCs w:val="13"/>
                <w:color w:val="auto"/>
              </w:rPr>
              <w:t>The Cool Pool Limited</w:t>
            </w:r>
          </w:p>
        </w:tc>
        <w:tc>
          <w:tcPr>
            <w:tcW w:w="2460" w:type="dxa"/>
            <w:vAlign w:val="bottom"/>
          </w:tcPr>
          <w:p>
            <w:pPr>
              <w:ind w:left="420"/>
              <w:spacing w:after="0"/>
              <w:rPr>
                <w:sz w:val="20"/>
                <w:szCs w:val="20"/>
                <w:color w:val="auto"/>
              </w:rPr>
            </w:pPr>
            <w:r>
              <w:rPr>
                <w:rFonts w:ascii="Arial" w:cs="Arial" w:eastAsia="Arial" w:hAnsi="Arial"/>
                <w:sz w:val="13"/>
                <w:szCs w:val="13"/>
                <w:color w:val="auto"/>
              </w:rPr>
              <w:t>Pool other voyage expenses</w:t>
            </w:r>
          </w:p>
        </w:tc>
        <w:tc>
          <w:tcPr>
            <w:tcW w:w="2440" w:type="dxa"/>
            <w:vAlign w:val="bottom"/>
          </w:tcPr>
          <w:p>
            <w:pPr>
              <w:ind w:left="180"/>
              <w:spacing w:after="0"/>
              <w:rPr>
                <w:sz w:val="20"/>
                <w:szCs w:val="20"/>
                <w:color w:val="auto"/>
              </w:rPr>
            </w:pPr>
            <w:r>
              <w:rPr>
                <w:rFonts w:ascii="Arial" w:cs="Arial" w:eastAsia="Arial" w:hAnsi="Arial"/>
                <w:sz w:val="13"/>
                <w:szCs w:val="13"/>
                <w:color w:val="auto"/>
              </w:rPr>
              <w:t>Voyage expenses and commissions</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1,246</w:t>
            </w:r>
          </w:p>
        </w:tc>
        <w:tc>
          <w:tcPr>
            <w:tcW w:w="740" w:type="dxa"/>
            <w:vAlign w:val="bottom"/>
          </w:tcPr>
          <w:p>
            <w:pPr>
              <w:jc w:val="right"/>
              <w:ind w:right="153"/>
              <w:spacing w:after="0"/>
              <w:rPr>
                <w:sz w:val="20"/>
                <w:szCs w:val="20"/>
                <w:color w:val="auto"/>
              </w:rPr>
            </w:pPr>
            <w:r>
              <w:rPr>
                <w:rFonts w:ascii="Arial" w:cs="Arial" w:eastAsia="Arial" w:hAnsi="Arial"/>
                <w:sz w:val="13"/>
                <w:szCs w:val="13"/>
                <w:color w:val="auto"/>
              </w:rPr>
              <w:t>831</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rPr>
              <w:t>—</w:t>
            </w:r>
          </w:p>
        </w:tc>
      </w:tr>
      <w:tr>
        <w:trPr>
          <w:trHeight w:val="148"/>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Cool Pool Limited</w:t>
            </w:r>
          </w:p>
        </w:tc>
        <w:tc>
          <w:tcPr>
            <w:tcW w:w="2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Adjustment for net pool allocation</w:t>
            </w:r>
          </w:p>
        </w:tc>
        <w:tc>
          <w:tcPr>
            <w:tcW w:w="2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pool allocation</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(17,818)</w:t>
            </w: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4,264</w:t>
            </w:r>
          </w:p>
        </w:tc>
        <w:tc>
          <w:tcPr>
            <w:tcW w:w="4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r>
      <w:tr>
        <w:trPr>
          <w:trHeight w:val="149"/>
        </w:trPr>
        <w:tc>
          <w:tcPr>
            <w:tcW w:w="280" w:type="dxa"/>
            <w:vAlign w:val="bottom"/>
          </w:tcPr>
          <w:p>
            <w:pPr>
              <w:ind w:left="20"/>
              <w:spacing w:after="0"/>
              <w:rPr>
                <w:sz w:val="20"/>
                <w:szCs w:val="20"/>
                <w:color w:val="auto"/>
              </w:rPr>
            </w:pPr>
            <w:r>
              <w:rPr>
                <w:rFonts w:ascii="Arial" w:cs="Arial" w:eastAsia="Arial" w:hAnsi="Arial"/>
                <w:sz w:val="13"/>
                <w:szCs w:val="13"/>
                <w:color w:val="auto"/>
              </w:rPr>
              <w:t>(h)</w:t>
            </w:r>
          </w:p>
        </w:tc>
        <w:tc>
          <w:tcPr>
            <w:tcW w:w="1800" w:type="dxa"/>
            <w:vAlign w:val="bottom"/>
            <w:gridSpan w:val="2"/>
          </w:tcPr>
          <w:p>
            <w:pPr>
              <w:ind w:left="120"/>
              <w:spacing w:after="0"/>
              <w:rPr>
                <w:sz w:val="20"/>
                <w:szCs w:val="20"/>
                <w:color w:val="auto"/>
              </w:rPr>
            </w:pPr>
            <w:r>
              <w:rPr>
                <w:rFonts w:ascii="Arial" w:cs="Arial" w:eastAsia="Arial" w:hAnsi="Arial"/>
                <w:sz w:val="13"/>
                <w:szCs w:val="13"/>
                <w:color w:val="auto"/>
              </w:rPr>
              <w:t>Ceres Shipping Ltd.</w:t>
            </w:r>
          </w:p>
        </w:tc>
        <w:tc>
          <w:tcPr>
            <w:tcW w:w="2460" w:type="dxa"/>
            <w:vAlign w:val="bottom"/>
          </w:tcPr>
          <w:p>
            <w:pPr>
              <w:ind w:left="420"/>
              <w:spacing w:after="0"/>
              <w:rPr>
                <w:sz w:val="20"/>
                <w:szCs w:val="20"/>
                <w:color w:val="auto"/>
              </w:rPr>
            </w:pPr>
            <w:r>
              <w:rPr>
                <w:rFonts w:ascii="Arial" w:cs="Arial" w:eastAsia="Arial" w:hAnsi="Arial"/>
                <w:sz w:val="13"/>
                <w:szCs w:val="13"/>
                <w:color w:val="auto"/>
              </w:rPr>
              <w:t>Travel expenses</w:t>
            </w:r>
          </w:p>
        </w:tc>
        <w:tc>
          <w:tcPr>
            <w:tcW w:w="2440" w:type="dxa"/>
            <w:vAlign w:val="bottom"/>
          </w:tcPr>
          <w:p>
            <w:pPr>
              <w:ind w:left="180"/>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38</w:t>
            </w:r>
          </w:p>
        </w:tc>
        <w:tc>
          <w:tcPr>
            <w:tcW w:w="7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93"/>
              <w:spacing w:after="0"/>
              <w:rPr>
                <w:sz w:val="20"/>
                <w:szCs w:val="20"/>
                <w:color w:val="auto"/>
              </w:rPr>
            </w:pPr>
            <w:r>
              <w:rPr>
                <w:rFonts w:ascii="Arial" w:cs="Arial" w:eastAsia="Arial" w:hAnsi="Arial"/>
                <w:sz w:val="13"/>
                <w:szCs w:val="13"/>
                <w:color w:val="auto"/>
              </w:rPr>
              <w:t>1</w:t>
            </w:r>
          </w:p>
        </w:tc>
      </w:tr>
      <w:tr>
        <w:trPr>
          <w:trHeight w:val="148"/>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Ceres Shipping Ltd.</w:t>
            </w:r>
          </w:p>
        </w:tc>
        <w:tc>
          <w:tcPr>
            <w:tcW w:w="24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Professional services</w:t>
            </w:r>
          </w:p>
        </w:tc>
        <w:tc>
          <w:tcPr>
            <w:tcW w:w="2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10</w:t>
            </w:r>
          </w:p>
        </w:tc>
        <w:tc>
          <w:tcPr>
            <w:tcW w:w="4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r>
      <w:tr>
        <w:trPr>
          <w:trHeight w:val="108"/>
        </w:trPr>
        <w:tc>
          <w:tcPr>
            <w:tcW w:w="2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192" w:lineRule="exact"/>
        <w:rPr>
          <w:sz w:val="20"/>
          <w:szCs w:val="20"/>
          <w:color w:val="auto"/>
        </w:rPr>
      </w:pPr>
    </w:p>
    <w:p>
      <w:pPr>
        <w:ind w:left="1680" w:right="20" w:hanging="549"/>
        <w:spacing w:after="0" w:line="256"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 xml:space="preserve">One of the Group's subsidiaries, GasLog LNG Services Ltd. provides vessel management services to Egypt LNG Shipping Ltd., the LNG vessel owning company, in which another subsidiary, GasLog Shipping Company Ltd., holds a 25% ownership interest. In addition, in June 2020, GasLog LNG Services Ltd. agreed to sell a low-pressure turbine to Egypt LNG Shipping Ltd. to be installed on the </w:t>
      </w:r>
      <w:r>
        <w:rPr>
          <w:rFonts w:ascii="Arial" w:cs="Arial" w:eastAsia="Arial" w:hAnsi="Arial"/>
          <w:sz w:val="13"/>
          <w:szCs w:val="13"/>
          <w:i w:val="1"/>
          <w:iCs w:val="1"/>
          <w:color w:val="auto"/>
        </w:rPr>
        <w:t>Methane Nile Eagle</w:t>
      </w:r>
      <w:r>
        <w:rPr>
          <w:rFonts w:ascii="Arial" w:cs="Arial" w:eastAsia="Arial" w:hAnsi="Arial"/>
          <w:sz w:val="13"/>
          <w:szCs w:val="13"/>
          <w:color w:val="auto"/>
        </w:rPr>
        <w:t>. The disposal resulted in a loss of $572 (Note 6).</w:t>
      </w:r>
    </w:p>
    <w:p>
      <w:pPr>
        <w:spacing w:after="0" w:line="102" w:lineRule="exact"/>
        <w:rPr>
          <w:rFonts w:ascii="Arial" w:cs="Arial" w:eastAsia="Arial" w:hAnsi="Arial"/>
          <w:sz w:val="11"/>
          <w:szCs w:val="11"/>
          <w:color w:val="auto"/>
        </w:rPr>
      </w:pPr>
    </w:p>
    <w:p>
      <w:pPr>
        <w:ind w:left="1680" w:right="160" w:hanging="549"/>
        <w:spacing w:after="0" w:line="274"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Through its subsidiary GasLog LNG Services Ltd., the Group leases office space in Piraeus, Greece, from an entity controlled by Ceres Shipping, Nea Dimitra Ktimatikh Kai Emporikh S.A.</w:t>
      </w:r>
    </w:p>
    <w:p>
      <w:pPr>
        <w:spacing w:after="0" w:line="90" w:lineRule="exact"/>
        <w:rPr>
          <w:rFonts w:ascii="Arial" w:cs="Arial" w:eastAsia="Arial" w:hAnsi="Arial"/>
          <w:sz w:val="11"/>
          <w:szCs w:val="11"/>
          <w:color w:val="auto"/>
        </w:rPr>
      </w:pPr>
    </w:p>
    <w:p>
      <w:pPr>
        <w:jc w:val="both"/>
        <w:ind w:left="1680" w:right="40" w:hanging="549"/>
        <w:spacing w:after="0" w:line="250"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day,but are slightly higher on special occasions. In addition, GasLog LNG Services Ltd. has entered into an agreement with Seres S.A. for the latter to provide human resources, telephone and documentation services for the staff based in Piraeus.</w:t>
      </w:r>
    </w:p>
    <w:p>
      <w:pPr>
        <w:spacing w:after="0" w:line="106" w:lineRule="exact"/>
        <w:rPr>
          <w:rFonts w:ascii="Arial" w:cs="Arial" w:eastAsia="Arial" w:hAnsi="Arial"/>
          <w:sz w:val="11"/>
          <w:szCs w:val="11"/>
          <w:color w:val="auto"/>
        </w:rPr>
      </w:pPr>
    </w:p>
    <w:p>
      <w:pPr>
        <w:ind w:left="1680" w:hanging="549"/>
        <w:spacing w:after="0"/>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Chartwell Management Inc. is an entity controlled by the Livanos family which provides travel services to GasLog's directors and officers.</w:t>
      </w:r>
    </w:p>
    <w:p>
      <w:pPr>
        <w:spacing w:after="0" w:line="134" w:lineRule="exact"/>
        <w:rPr>
          <w:rFonts w:ascii="Arial" w:cs="Arial" w:eastAsia="Arial" w:hAnsi="Arial"/>
          <w:sz w:val="11"/>
          <w:szCs w:val="11"/>
          <w:color w:val="auto"/>
        </w:rPr>
      </w:pPr>
    </w:p>
    <w:p>
      <w:pPr>
        <w:ind w:left="1680" w:right="140" w:hanging="549"/>
        <w:spacing w:after="0" w:line="256"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 and a consultancy arrangement fee of $12 per month up to December 31, 2020.</w:t>
      </w:r>
    </w:p>
    <w:p>
      <w:pPr>
        <w:spacing w:after="0" w:line="102" w:lineRule="exact"/>
        <w:rPr>
          <w:rFonts w:ascii="Arial" w:cs="Arial" w:eastAsia="Arial" w:hAnsi="Arial"/>
          <w:sz w:val="11"/>
          <w:szCs w:val="11"/>
          <w:color w:val="auto"/>
        </w:rPr>
      </w:pPr>
    </w:p>
    <w:p>
      <w:pPr>
        <w:ind w:left="1680" w:hanging="549"/>
        <w:spacing w:after="0" w:line="317" w:lineRule="auto"/>
        <w:tabs>
          <w:tab w:leader="none" w:pos="1680" w:val="left"/>
        </w:tabs>
        <w:numPr>
          <w:ilvl w:val="0"/>
          <w:numId w:val="138"/>
        </w:numPr>
        <w:rPr>
          <w:rFonts w:ascii="Arial" w:cs="Arial" w:eastAsia="Arial" w:hAnsi="Arial"/>
          <w:sz w:val="10"/>
          <w:szCs w:val="10"/>
          <w:color w:val="auto"/>
        </w:rPr>
      </w:pPr>
      <w:r>
        <w:rPr>
          <w:rFonts w:ascii="Arial" w:cs="Arial" w:eastAsia="Arial" w:hAnsi="Arial"/>
          <w:sz w:val="12"/>
          <w:szCs w:val="12"/>
          <w:color w:val="auto"/>
        </w:rPr>
        <w:t>A.S. Papadimitriou and Partners Law Firm, an entity controlled by one of our directors, provided legal services in relation to the legal due diligence process of our investment in Gastrade. For the years ended December 31, 2019 and 2020, no amount was recognized in general and administrative expenses. (December 31, 2018: $4).</w:t>
      </w:r>
    </w:p>
    <w:p>
      <w:pPr>
        <w:spacing w:after="0" w:line="67" w:lineRule="exact"/>
        <w:rPr>
          <w:rFonts w:ascii="Arial" w:cs="Arial" w:eastAsia="Arial" w:hAnsi="Arial"/>
          <w:sz w:val="10"/>
          <w:szCs w:val="10"/>
          <w:color w:val="auto"/>
        </w:rPr>
      </w:pPr>
    </w:p>
    <w:p>
      <w:pPr>
        <w:ind w:left="1680" w:right="340" w:hanging="549"/>
        <w:spacing w:after="0" w:line="256"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GasLog recognized gross revenues and total voyage expenses of $45,253 and $8,086, respectively, from the operation of its vessels in the Cool Pool during the year ended December 31, 2019 (December 31, 2018: $102,253 and $10,154, respectively). The aforementioned pool results were adjusted by a net loss of $4,264 (2018: net gain of $17,818) to include the net allocation from the pool in accordance with the profit sharing terms specified in the Pool Agreement.</w:t>
      </w:r>
    </w:p>
    <w:p>
      <w:pPr>
        <w:spacing w:after="0" w:line="102" w:lineRule="exact"/>
        <w:rPr>
          <w:rFonts w:ascii="Arial" w:cs="Arial" w:eastAsia="Arial" w:hAnsi="Arial"/>
          <w:sz w:val="11"/>
          <w:szCs w:val="11"/>
          <w:color w:val="auto"/>
        </w:rPr>
      </w:pPr>
    </w:p>
    <w:p>
      <w:pPr>
        <w:ind w:left="1680" w:hanging="549"/>
        <w:spacing w:after="0"/>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Ceres Shipping Ltd., an entity controlled by the Livanos family, requested reimbursement of professional expenses provided during the year.</w:t>
      </w:r>
    </w:p>
    <w:p>
      <w:pPr>
        <w:spacing w:after="0" w:line="134" w:lineRule="exact"/>
        <w:rPr>
          <w:rFonts w:ascii="Arial" w:cs="Arial" w:eastAsia="Arial" w:hAnsi="Arial"/>
          <w:sz w:val="11"/>
          <w:szCs w:val="11"/>
          <w:color w:val="auto"/>
        </w:rPr>
      </w:pPr>
    </w:p>
    <w:p>
      <w:pPr>
        <w:ind w:left="1680" w:right="20" w:hanging="549"/>
        <w:spacing w:after="0" w:line="256"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In the year ended December 31, 2020, Ceres Shipping Enterprises S.A., an entity controlled by the Livanos family, received a fee of $1,000 for consultancy services provided in relation to the Group's debt re-financings completed in July and August 2020. This amount is classified under Deferred loan issuance costs (i.e. contra debt) and will be amortized over the duration of the respective facilities.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key management personnel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remuneration of directors and key management was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216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w w:val="94"/>
              </w:rPr>
              <w:t>For the year ended</w:t>
            </w:r>
          </w:p>
        </w:tc>
      </w:tr>
      <w:tr>
        <w:trPr>
          <w:trHeight w:val="161"/>
        </w:trPr>
        <w:tc>
          <w:tcPr>
            <w:tcW w:w="5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Remuneration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Short-term benefits</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Expense recognized in respect of share-based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60" w:type="dxa"/>
            <w:vAlign w:val="bottom"/>
            <w:shd w:val="clear" w:color="auto" w:fill="CCEEFF"/>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9,139</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11,795</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Compensation Plan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GasLog has granted to executives, managers and certain employees of the Group, Restricted Stock Units ("RSUs"), Stock Appreciation Rights or Stock Options (collectively, the "SARs") and Performance Stock Units ("PSUs") in accordance with its 2013 Omnibus Incentive Compensation Plan (the "Plan"). The RSUs (with the exception of the RSUs granted in 2020 that are discussed below) and PSUs vest three years after the grant dates while the SARs and the RSUs granted in 2020 vest incrementally with one-third of the SARs and RSUs vesting on each of the three anniversaries of the grant dates. The compensation cost for the SARs is recognized on an accelerated basis as though each separate vesting portion of the SARs is a separate award. Prior to the exercise date the holders of the awards have no voting rights.</w:t>
      </w:r>
    </w:p>
    <w:p>
      <w:pPr>
        <w:spacing w:after="0" w:line="198" w:lineRule="exact"/>
        <w:rPr>
          <w:sz w:val="20"/>
          <w:szCs w:val="20"/>
          <w:color w:val="auto"/>
        </w:rPr>
      </w:pPr>
    </w:p>
    <w:p>
      <w:pPr>
        <w:ind w:right="280" w:firstLine="348"/>
        <w:spacing w:after="0" w:line="284" w:lineRule="auto"/>
        <w:rPr>
          <w:sz w:val="20"/>
          <w:szCs w:val="20"/>
          <w:color w:val="auto"/>
        </w:rPr>
      </w:pPr>
      <w:r>
        <w:rPr>
          <w:rFonts w:ascii="Arial" w:cs="Arial" w:eastAsia="Arial" w:hAnsi="Arial"/>
          <w:sz w:val="16"/>
          <w:szCs w:val="16"/>
          <w:color w:val="auto"/>
        </w:rPr>
        <w:t>Vesting of the PSUs is also subject to the achievement of certain performance targets in relation to the total shareholder return ("TSR") achieved by the Company during the performance period weighted at 50%, the operating expenses reduction ("Opex reduction") weighted at 25% and the general and administrative expense reduction ("G&amp;A reduction") weighted at 25%. Specifically, TSR is benchmarked against the TSR of a selected group of peer</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companies. TSR above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peer group results in 100% of the award vesting; TSR between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peer group results in the achieved percentile of award vesting and TSR below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peer group results in none of the award vesting. In addition, achieving more than 100%, 95%-100%, 90%-94% and 85%-89% of the three-year target Opex reduction results in 100% plus 1 point for each point in excess of target, 100%, 75% and 50% of award vesting, respectively while achieving less than 85% of target cost reduction results in none of the award vesting. Finally, achieving more than 100%, 95%-100%, 90%-94% and 85%-89% of the target G&amp;A reduction results in 100% plus 1 point for each point in excess of target, 100%, 75% and 50% of award vesting, respectively while achieving less than 85% of target cost reduction, results in none of the award vesting. The compensation cost for the PSUs is recognized on an accelerated basis as though each separately vesting portion of PSUs is a separate award. The holders are entitled to cash distributions that will be accrued and settled on vesting.</w:t>
      </w:r>
    </w:p>
    <w:p>
      <w:pPr>
        <w:spacing w:after="0" w:line="21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April 1, 2020, GasLog granted to executives, managers and certain employees of the Group 496,742 RSUs and 496,742 PSUs in accordance with the Plan. The RSUs will vest incrementally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one third of the RSUs vesting on each of April 1, 2021, 2022 and 2023 and the PSUs will vest on April 1, 2023. Additionally, on August 3, 2020, GasLog granted 21,367 RSUs which will vest incrementally with one third of the RSUs vesting on each of August 3, 2021, 2022 and 2023 and on August 7, 2020 granted 4,702 RSUs and 4,702 PSUs, which will vest incrementally with one third of the RSUs vesting on each of August 7, 2021, 2022 and 2023 and the PSUs will vest on August 7, 2023.</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outstanding awards as of December 31, 2020 are presented in the following table:</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Fair value at</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Grant date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Exercise price*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SARs</w:t>
            </w:r>
          </w:p>
        </w:tc>
        <w:tc>
          <w:tcPr>
            <w:tcW w:w="1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203,114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17, 2013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29, 2023</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$12.48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259,417</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2014</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March 31, 2024</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$23.22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274,991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March 31, 2025</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712,673</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2016</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March 31, 2026</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$8.50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366,879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3, 2017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3, 2027</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$14.77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85,113</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2, 2018</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363,540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2,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2, 2028</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$15.52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49,886</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244,732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2029</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$17.41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7,410</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August 20,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 2019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20, 2029</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$11.96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496,742</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496,742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2020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21,367</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August 3,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7, 2020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PSUs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4,702</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August 7,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right="100" w:hanging="547"/>
        <w:spacing w:after="0" w:line="274" w:lineRule="auto"/>
        <w:tabs>
          <w:tab w:leader="none" w:pos="22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exercise prices were decreased by $0.40 and/or $0.38 to reflect the effect from the distribution of the special dividends declared on November 28, 2018 and December 14, 2019, respectively.</w:t>
      </w:r>
    </w:p>
    <w:p>
      <w:pPr>
        <w:spacing w:after="0" w:line="17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the Group's initial public offering. The expected dividend is based on management's expectations of future</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payments on the grant date. The significant assumptions used to estimate the fair value of the SARs are set out below:</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Inputs into the model</w:t>
            </w:r>
          </w:p>
        </w:tc>
        <w:tc>
          <w:tcPr>
            <w:tcW w:w="14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209"/>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Grant date share closing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w:t>
            </w:r>
          </w:p>
        </w:tc>
      </w:tr>
      <w:tr>
        <w:trPr>
          <w:trHeight w:val="257"/>
        </w:trPr>
        <w:tc>
          <w:tcPr>
            <w:tcW w:w="26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Exercise price</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8.50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r>
      <w:tr>
        <w:trPr>
          <w:trHeight w:val="216"/>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47.3%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r>
        <w:trPr>
          <w:trHeight w:val="216"/>
        </w:trPr>
        <w:tc>
          <w:tcPr>
            <w:tcW w:w="2660" w:type="dxa"/>
            <w:vAlign w:val="bottom"/>
            <w:gridSpan w:val="3"/>
          </w:tcPr>
          <w:p>
            <w:pPr>
              <w:ind w:left="20"/>
              <w:spacing w:after="0"/>
              <w:rPr>
                <w:sz w:val="20"/>
                <w:szCs w:val="20"/>
                <w:color w:val="auto"/>
              </w:rPr>
            </w:pPr>
            <w:r>
              <w:rPr>
                <w:rFonts w:ascii="Arial" w:cs="Arial" w:eastAsia="Arial" w:hAnsi="Arial"/>
                <w:sz w:val="18"/>
                <w:szCs w:val="18"/>
                <w:color w:val="auto"/>
              </w:rPr>
              <w:t>Expected term</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6 years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 years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6 years</w:t>
            </w:r>
          </w:p>
        </w:tc>
        <w:tc>
          <w:tcPr>
            <w:tcW w:w="1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6 years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6 years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 years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1"/>
              </w:rPr>
              <w:t>6 years</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6 years</w:t>
            </w:r>
          </w:p>
        </w:tc>
      </w:tr>
      <w:tr>
        <w:trPr>
          <w:trHeight w:val="208"/>
        </w:trPr>
        <w:tc>
          <w:tcPr>
            <w:tcW w:w="2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Risk-free interest rate for the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period similar to the expected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term</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1.37%</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r>
      <w:tr>
        <w:trPr>
          <w:trHeight w:val="108"/>
        </w:trPr>
        <w:tc>
          <w:tcPr>
            <w:tcW w:w="1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exercise prices were decreased by $0.40 and/or $0.38 to reflect the effect from the distribution of the special dividends declared on November 28, 2018 and December 14, 2019, respectively.</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fair value of the RSUs and PSUs was determined by using the grant date closing price and was not further adjusted since the holders are entitled to dividends.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right="7920" w:firstLine="8"/>
        <w:spacing w:after="0" w:line="605" w:lineRule="auto"/>
        <w:tabs>
          <w:tab w:leader="none" w:pos="263"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 (Continued) Movement in RSUs, SARs and PSUs</w:t>
      </w: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The summary of RSUs, SARs and PSUs is presented below:</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Weighted average</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 price at</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exercise price</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the date of</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contractual</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awards</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per share</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exercise</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life</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January 1, 2019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488,173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6,408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(207,819)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522,811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(245,061)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SARs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January 1, 2019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2,372,163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14.51</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9,839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326,454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(15,774)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11.25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(36,198)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Expired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(16,472)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2,630,173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14.46</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11,367</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Forfeited during the year</w:t>
            </w: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1180" w:type="dxa"/>
            <w:vAlign w:val="bottom"/>
          </w:tcPr>
          <w:p>
            <w:pPr>
              <w:ind w:left="1020"/>
              <w:spacing w:after="0"/>
              <w:rPr>
                <w:sz w:val="20"/>
                <w:szCs w:val="20"/>
                <w:color w:val="auto"/>
              </w:rPr>
            </w:pPr>
            <w:r>
              <w:rPr>
                <w:rFonts w:ascii="Arial" w:cs="Arial" w:eastAsia="Arial" w:hAnsi="Arial"/>
                <w:sz w:val="18"/>
                <w:szCs w:val="18"/>
                <w:color w:val="auto"/>
                <w:w w:val="77"/>
              </w:rPr>
              <w:t>—</w:t>
            </w:r>
          </w:p>
        </w:tc>
        <w:tc>
          <w:tcPr>
            <w:tcW w:w="16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(176,610)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2,452,478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PSUs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January 1, 2020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501,444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501,444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2,185,148 SARs have vested but not been exercised.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GasLog Partners has granted to its executives RCUs and PCUs in accordance with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group results in 50% of award vesting; TUR below the 50th percentile of the peer group results in none of the award vesting. The holders are entitled to cash distributions that are accrued and will be settled on vesting.</w:t>
      </w:r>
    </w:p>
    <w:p>
      <w:pPr>
        <w:spacing w:after="0" w:line="18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On April 1, 2020, GasLog Partners granted to its executives 233,688 RCUs and 233,688 PCUs in accordance with the GasLog Partners' Plan. The RCUs and PCUs will vest on April 1, 2023. The holders are entitled to cash distributions that will be accrued and settled on vesting.</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outstanding awards as of December 31, 2020 are presented in the following table:</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Fair value at</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700" w:type="dxa"/>
            <w:vAlign w:val="bottom"/>
          </w:tcPr>
          <w:p>
            <w:pPr>
              <w:jc w:val="right"/>
              <w:ind w:right="35"/>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3"/>
                <w:szCs w:val="13"/>
                <w:b w:val="1"/>
                <w:bCs w:val="1"/>
                <w:color w:val="auto"/>
              </w:rPr>
              <w:t>Grant date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3"/>
              </w:rPr>
              <w:t>RCUs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3, 2017</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3, 2017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2, 2018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2, 2018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1, 2019</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1, 2019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1, 2020</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PCUs</w:t>
            </w:r>
          </w:p>
        </w:tc>
        <w:tc>
          <w:tcPr>
            <w:tcW w:w="700" w:type="dxa"/>
            <w:vAlign w:val="bottom"/>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1, 2020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fair value of the RCUs and PCUs in accordance with the GasLog Partners' Plan was determined by using the grant date closing price and was not further adjusted since the holders are entitled to cash distributions.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47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Aggregate</w:t>
            </w:r>
          </w:p>
        </w:tc>
      </w:tr>
      <w:tr>
        <w:trPr>
          <w:trHeight w:val="161"/>
        </w:trPr>
        <w:tc>
          <w:tcPr>
            <w:tcW w:w="47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awards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contractual life</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January 1, 2019</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(24,925)</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(220,177)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(1,816)</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89,978</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16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January 1, 2019</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(24,925)</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tcPr>
          <w:p>
            <w:pPr>
              <w:jc w:val="right"/>
              <w:spacing w:after="0"/>
              <w:rPr>
                <w:sz w:val="20"/>
                <w:szCs w:val="20"/>
                <w:color w:val="auto"/>
              </w:rPr>
            </w:pPr>
            <w:r>
              <w:rPr>
                <w:rFonts w:ascii="Arial" w:cs="Arial" w:eastAsia="Arial" w:hAnsi="Arial"/>
                <w:sz w:val="18"/>
                <w:szCs w:val="18"/>
                <w:color w:val="auto"/>
              </w:rPr>
              <w:t>233,688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(213,955)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(6,222)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(148)</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89,978</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60" w:type="dxa"/>
            <w:vAlign w:val="bottom"/>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expense recognized in respect of share-based compensation for the year ended December 31, 2020 was $5,486 (December 31, 2019: $5,107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$5,216). The total accrued cash distribution as of December 31, 2020 is $552 (December 31, 2019: $1,176).</w:t>
      </w:r>
    </w:p>
    <w:p>
      <w:pPr>
        <w:spacing w:after="0" w:line="213" w:lineRule="exact"/>
        <w:rPr>
          <w:sz w:val="20"/>
          <w:szCs w:val="20"/>
          <w:color w:val="auto"/>
        </w:rPr>
      </w:pPr>
    </w:p>
    <w:p>
      <w:pPr>
        <w:ind w:left="280" w:hanging="272"/>
        <w:spacing w:after="0"/>
        <w:tabs>
          <w:tab w:leader="none" w:pos="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Commitments relating to the vessels under construction (Note 6) on December 31, 2020 payable to Samsung were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466,930</w:t>
            </w:r>
          </w:p>
        </w:tc>
        <w:tc>
          <w:tcPr>
            <w:tcW w:w="160" w:type="dxa"/>
            <w:vAlign w:val="bottom"/>
            <w:shd w:val="clear" w:color="auto" w:fill="CCEEFF"/>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466,930</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9"/>
        <w:spacing w:after="0" w:line="331" w:lineRule="auto"/>
        <w:tabs>
          <w:tab w:leader="none" w:pos="68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Future gross minimum lease payments in relation to non-cancellable time charter agreements for vessels in operation, including a vessel under a lease (Note 7) as of December 31, 2020 are as follows (30 off-hire days are assumed when each vessel will undergo scheduled dry-docking; in addition,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early delivery of the vessels by the charterers or any exercise of the charterers' options to extend the terms of the charters are not accounted for):</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426,830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one year and not later than two years</w:t>
            </w:r>
          </w:p>
        </w:tc>
        <w:tc>
          <w:tcPr>
            <w:tcW w:w="960" w:type="dxa"/>
            <w:vAlign w:val="bottom"/>
          </w:tcPr>
          <w:p>
            <w:pPr>
              <w:jc w:val="right"/>
              <w:spacing w:after="0"/>
              <w:rPr>
                <w:sz w:val="20"/>
                <w:szCs w:val="20"/>
                <w:color w:val="auto"/>
              </w:rPr>
            </w:pPr>
            <w:r>
              <w:rPr>
                <w:rFonts w:ascii="Arial" w:cs="Arial" w:eastAsia="Arial" w:hAnsi="Arial"/>
                <w:sz w:val="18"/>
                <w:szCs w:val="18"/>
                <w:color w:val="auto"/>
              </w:rPr>
              <w:t>381,318</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351,718</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960" w:type="dxa"/>
            <w:vAlign w:val="bottom"/>
          </w:tcPr>
          <w:p>
            <w:pPr>
              <w:jc w:val="right"/>
              <w:spacing w:after="0"/>
              <w:rPr>
                <w:sz w:val="20"/>
                <w:szCs w:val="20"/>
                <w:color w:val="auto"/>
              </w:rPr>
            </w:pPr>
            <w:r>
              <w:rPr>
                <w:rFonts w:ascii="Arial" w:cs="Arial" w:eastAsia="Arial" w:hAnsi="Arial"/>
                <w:sz w:val="18"/>
                <w:szCs w:val="18"/>
                <w:color w:val="auto"/>
              </w:rPr>
              <w:t>294,366</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281,319</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five years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600,771</w:t>
            </w:r>
          </w:p>
        </w:tc>
        <w:tc>
          <w:tcPr>
            <w:tcW w:w="160" w:type="dxa"/>
            <w:vAlign w:val="bottom"/>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2,336,322</w:t>
            </w:r>
          </w:p>
        </w:tc>
        <w:tc>
          <w:tcPr>
            <w:tcW w:w="1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gross minimum lease payments disclosed in the above table exclude the lease payments of the vessels that are under construction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(Note 6). For these vessels, the following charter party agreements have been signed:</w:t>
      </w:r>
    </w:p>
    <w:p>
      <w:pPr>
        <w:spacing w:after="0" w:line="232" w:lineRule="exact"/>
        <w:rPr>
          <w:sz w:val="20"/>
          <w:szCs w:val="20"/>
          <w:color w:val="auto"/>
        </w:rPr>
      </w:pPr>
    </w:p>
    <w:p>
      <w:pPr>
        <w:ind w:left="1080" w:right="380" w:hanging="532"/>
        <w:spacing w:after="0" w:line="331" w:lineRule="auto"/>
        <w:tabs>
          <w:tab w:leader="none" w:pos="10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In August 2018, GAS-thirty three Ltd., signed an agreement with a wholly owned subsidiary of Cheniere Energy Inc. ("Cheniere"), for the </w:t>
      </w:r>
      <w:r>
        <w:rPr>
          <w:rFonts w:ascii="Arial" w:cs="Arial" w:eastAsia="Arial" w:hAnsi="Arial"/>
          <w:sz w:val="16"/>
          <w:szCs w:val="16"/>
          <w:i w:val="1"/>
          <w:iCs w:val="1"/>
          <w:color w:val="auto"/>
        </w:rPr>
        <w:t xml:space="preserve">GasLog Galveston </w:t>
      </w:r>
      <w:r>
        <w:rPr>
          <w:rFonts w:ascii="Arial" w:cs="Arial" w:eastAsia="Arial" w:hAnsi="Arial"/>
          <w:sz w:val="16"/>
          <w:szCs w:val="16"/>
          <w:color w:val="auto"/>
        </w:rPr>
        <w:t>to be chartered to Cheniere upon delivery in 2021 for an initial term of seven years.</w:t>
      </w:r>
    </w:p>
    <w:p>
      <w:pPr>
        <w:spacing w:after="0" w:line="167"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December 2018, GAS-thirty four Ltd., signed an agreement with Cheniere, for its newbuilding Hull No. 2311 to be chartered to Cheniere upon delivery in 2021 for an initial term of seven years.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December 2018, GAS-thirty five Ltd., signed an agreement with Cheniere, for its newbuilding Hull No. 2312 to be chartered to Cheniere upon delivery in 2021 for an initial term of seven years.</w:t>
      </w:r>
    </w:p>
    <w:p>
      <w:pPr>
        <w:spacing w:after="0" w:line="185" w:lineRule="exact"/>
        <w:rPr>
          <w:rFonts w:ascii="Arial" w:cs="Arial" w:eastAsia="Arial" w:hAnsi="Arial"/>
          <w:sz w:val="18"/>
          <w:szCs w:val="18"/>
          <w:color w:val="auto"/>
        </w:rPr>
      </w:pPr>
    </w:p>
    <w:p>
      <w:pPr>
        <w:ind w:right="100" w:firstLine="359"/>
        <w:spacing w:after="0" w:line="298" w:lineRule="auto"/>
        <w:tabs>
          <w:tab w:leader="none" w:pos="67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("Wartsila")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66" w:lineRule="exact"/>
        <w:rPr>
          <w:rFonts w:ascii="Arial" w:cs="Arial" w:eastAsia="Arial" w:hAnsi="Arial"/>
          <w:sz w:val="16"/>
          <w:szCs w:val="16"/>
          <w:color w:val="auto"/>
        </w:rPr>
      </w:pPr>
    </w:p>
    <w:p>
      <w:pPr>
        <w:ind w:firstLine="359"/>
        <w:spacing w:after="0" w:line="306" w:lineRule="auto"/>
        <w:tabs>
          <w:tab w:leader="none" w:pos="68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December 31, 2020, ballast water management systems had been installed on twelve out of the nineteen vessels.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GasLog LNG Services Ltd. has provided bank guarantees as follows:</w:t>
      </w:r>
    </w:p>
    <w:p>
      <w:pPr>
        <w:spacing w:after="0" w:line="239" w:lineRule="exact"/>
        <w:rPr>
          <w:sz w:val="20"/>
          <w:szCs w:val="20"/>
          <w:color w:val="auto"/>
        </w:rPr>
      </w:pPr>
    </w:p>
    <w:p>
      <w:pPr>
        <w:ind w:left="1080" w:hanging="532"/>
        <w:spacing w:after="0"/>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Up to $250 to third parties relating to the satisfactory performance of its ship management activities;</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Bank guarantee of $10 to the Greek Ministry of Finance relating to the satisfactory performance of the obligations arising under Greek laws 89/1967, 378/1968 as amended by law 814/1978.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Bank guarantee for $300 relating to the participation in a FSRU tender.</w:t>
      </w:r>
    </w:p>
    <w:p>
      <w:pPr>
        <w:spacing w:after="0" w:line="219" w:lineRule="exact"/>
        <w:rPr>
          <w:rFonts w:ascii="Arial" w:cs="Arial" w:eastAsia="Arial" w:hAnsi="Arial"/>
          <w:sz w:val="18"/>
          <w:szCs w:val="18"/>
          <w:color w:val="auto"/>
        </w:rPr>
      </w:pPr>
    </w:p>
    <w:p>
      <w:pPr>
        <w:ind w:left="280" w:hanging="272"/>
        <w:spacing w:after="0"/>
        <w:tabs>
          <w:tab w:leader="none" w:pos="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Group is subject to market risks relating to changes in interest rates because it has floating rate debt outstanding.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2020, the Group has economically hedged 47.64% of its variable rate interest exposure relating to its existing loan facilities and the bonds by swapping the variable rate to a fixed rate (December 31, 2019: 44.22%).</w:t>
      </w:r>
    </w:p>
    <w:p>
      <w:pPr>
        <w:spacing w:after="0" w:line="16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aggregate principal amount of our outstanding floating rate debt as of December 31, 2020 was $1,843,110. As an indication of the extent of our sensitivity to interest rate changes, an increase in LIBOR of 10 basis points would increase the annual interest expense on the un-hedged portion of the Group's loans by approximately $1,665 (December 31, 2019: $1,530 and December 31, 2018: $1,395).</w:t>
      </w:r>
    </w:p>
    <w:p>
      <w:pPr>
        <w:spacing w:after="0" w:line="194" w:lineRule="exact"/>
        <w:rPr>
          <w:sz w:val="20"/>
          <w:szCs w:val="20"/>
          <w:color w:val="auto"/>
        </w:rPr>
      </w:pPr>
    </w:p>
    <w:p>
      <w:pPr>
        <w:ind w:left="360"/>
        <w:spacing w:after="0"/>
        <w:tabs>
          <w:tab w:leader="none" w:pos="2840" w:val="left"/>
        </w:tabs>
        <w:rPr>
          <w:sz w:val="20"/>
          <w:szCs w:val="20"/>
          <w:color w:val="auto"/>
        </w:rPr>
      </w:pPr>
      <w:r>
        <w:rPr>
          <w:rFonts w:ascii="Arial" w:cs="Arial" w:eastAsia="Arial" w:hAnsi="Arial"/>
          <w:sz w:val="18"/>
          <w:szCs w:val="18"/>
          <w:b w:val="1"/>
          <w:bCs w:val="1"/>
          <w:i w:val="1"/>
          <w:iCs w:val="1"/>
          <w:color w:val="auto"/>
        </w:rPr>
        <w:t>Interest rate sensitivity analysis:</w:t>
      </w:r>
      <w:r>
        <w:rPr>
          <w:sz w:val="20"/>
          <w:szCs w:val="20"/>
          <w:color w:val="auto"/>
        </w:rPr>
        <w:tab/>
      </w:r>
      <w:r>
        <w:rPr>
          <w:rFonts w:ascii="Arial" w:cs="Arial" w:eastAsia="Arial" w:hAnsi="Arial"/>
          <w:sz w:val="15"/>
          <w:szCs w:val="15"/>
          <w:color w:val="auto"/>
        </w:rPr>
        <w:t>The fair value of the interest rate swaps as of December 31, 2020 was estimated as a net liability of $113,855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net liability of $49,873).</w:t>
      </w:r>
    </w:p>
    <w:p>
      <w:pPr>
        <w:spacing w:after="0" w:line="21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2020, if interest rates had increased or decreased by 10 basis points with all other variables held constant, the positive/(negative) impact, respectively, on the fair value of the interest rate swaps would have amounted to $5,162 (December 31, 2019: $6,285 and December 31, 2018: $7,351) affecting loss/(gain) on derivatives in the respective periods.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Other price risk: </w:t>
      </w:r>
      <w:r>
        <w:rPr>
          <w:rFonts w:ascii="Arial" w:cs="Arial" w:eastAsia="Arial" w:hAnsi="Arial"/>
          <w:sz w:val="18"/>
          <w:szCs w:val="18"/>
          <w:color w:val="auto"/>
        </w:rPr>
        <w:t>The decrease in the fair value of Egypt LNG Shipping Ltd., in response to unfavorable market conditions resulting in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rates and vessel values, could negatively impact the value of the Group's investment in associate. Therefore, management might conclude that impairment is necessary in the future.</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Euros ("EUR"). Specifically, for the year ended December 31, 2020, $130,861 of the operating and administrative expenses were denominated in EUR (December 31, 2019: $113,804 and December 31, 2018: $116,252). As of December 31, 2020, $34,199 of the Group's outstanding trade payables and accruals were denominated in EUR (December 31, 2019: $27,766). The Group is also exposed in currency risk in relation to our NOK 2024 Bonds (Note 13).</w:t>
      </w:r>
    </w:p>
    <w:p>
      <w:pPr>
        <w:spacing w:after="0" w:line="172"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Group has entered into CCSs (Note 26) to hedge its currency exposure from the NOK 2024 Bonds and forward foreign exchange contracts to hedge its currency exposure from payments in EUR and Japanese Yen ("JPY"). In addition, management monitors exchange rate fluctuations on a continuous basis. As an indication of the extent of the Group's sensitivity to changes in exchange rate, a 10% increase in the average EUR/USD exchange rate would have decreased the Group's profit and cash flows during the year ended December 31, 2020 by $13,086, based upon its expenses during the year (December 31, 2019: $11,380 and December 31, 2018: $11,625).</w:t>
      </w:r>
    </w:p>
    <w:p>
      <w:pPr>
        <w:spacing w:after="0" w:line="16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Interest rate risk on NOK 2024 Bonds (cash flow hedge): </w:t>
      </w:r>
      <w:r>
        <w:rPr>
          <w:rFonts w:ascii="Arial" w:cs="Arial" w:eastAsia="Arial" w:hAnsi="Arial"/>
          <w:sz w:val="16"/>
          <w:szCs w:val="16"/>
          <w:color w:val="auto"/>
        </w:rPr>
        <w:t>The Group uses approved instruments such as CCSs, in order to reduce the variability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associated with the functional currency equivalent interest and principal of the NOK 2024 Bonds as well as changes in the cash flows associated with changes in the currency rates and is therefore exposed to the following interest rate benchmarks within its hedge accounting relationship, which are subject to interest rate benchmark reform: USD LIBOR and NIBOR (collectively "IBORs").</w:t>
      </w:r>
    </w:p>
    <w:p>
      <w:pPr>
        <w:spacing w:after="0" w:line="166" w:lineRule="exact"/>
        <w:rPr>
          <w:sz w:val="20"/>
          <w:szCs w:val="20"/>
          <w:color w:val="auto"/>
        </w:rPr>
      </w:pPr>
    </w:p>
    <w:p>
      <w:pPr>
        <w:jc w:val="both"/>
        <w:ind w:right="120" w:firstLine="348"/>
        <w:spacing w:after="0" w:line="323" w:lineRule="auto"/>
        <w:rPr>
          <w:sz w:val="20"/>
          <w:szCs w:val="20"/>
          <w:color w:val="auto"/>
        </w:rPr>
      </w:pPr>
      <w:r>
        <w:rPr>
          <w:rFonts w:ascii="Arial" w:cs="Arial" w:eastAsia="Arial" w:hAnsi="Arial"/>
          <w:sz w:val="15"/>
          <w:szCs w:val="15"/>
          <w:color w:val="auto"/>
        </w:rPr>
        <w:t>The Group has closely monitored the market and the output from the various industry working groups managing the transition to new benchmark interest rates. This includes announcements made by LIBOR regulators (including the Financial Conduct Authority ("FCA") and the US Commodity Futures Trading Commission) regarding the transition away from IBORs to the Secured Overnight Financing Rate ("SOFR") and the Norwegian Overnight Weighted Average ("NOWA") respectively. The FCA has made clear that, at the end of 2021, it will no longer seek to persuade or compel banks to submit LIBOR estimates.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believes that all areas potentially impacted (including borrowings, derivative financial instruments etc.) have been identified.</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Group's NOK 2024 Bonds agreement includes fall back provisions for a case of cessation of the referenced benchmark interest rate. Specifically, it states that in the case that the interest rate referenced IBOR is no longer available, the interest rate will be set by the bond trustee in consultation with the issuer to: (i) any relevant replacement reference rate generally accepted in the market;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40" w:firstLine="8"/>
        <w:spacing w:after="0" w:line="268" w:lineRule="auto"/>
        <w:tabs>
          <w:tab w:leader="none" w:pos="25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interest rate that best reflects the interest rate for deposits in the bond currency offered for the relevant interest period. In each case, if any such rate is below zero, the reference rate will be deemed to be zero.</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the Group's CCSs, the International Swaps and Derivatives Association's ("ISDA") fall back clauses were made available at the end of 2019. These clauses or similar language has been inserted into a number of ISDA agreements across the Group and all outstanding agreements will be considered on a case by case basis with each counterparty.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Below are details of the hedging instruments and hedged item in scope of the IFRS 9 amendments due to interest rate benchmark reform, by hedge type.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hedged item match those of the corresponding hedging instruments.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Notional</w:t>
            </w:r>
          </w:p>
        </w:tc>
        <w:tc>
          <w:tcPr>
            <w:tcW w:w="2060" w:type="dxa"/>
            <w:vAlign w:val="bottom"/>
          </w:tcPr>
          <w:p>
            <w:pPr>
              <w:spacing w:after="0"/>
              <w:rPr>
                <w:sz w:val="13"/>
                <w:szCs w:val="13"/>
                <w:color w:val="auto"/>
              </w:rPr>
            </w:pPr>
          </w:p>
        </w:tc>
      </w:tr>
      <w:tr>
        <w:trPr>
          <w:trHeight w:val="16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Hedge type</w:t>
            </w:r>
          </w:p>
        </w:tc>
        <w:tc>
          <w:tcPr>
            <w:tcW w:w="1040" w:type="dxa"/>
            <w:vAlign w:val="bottom"/>
          </w:tcPr>
          <w:p>
            <w:pPr>
              <w:spacing w:after="0"/>
              <w:rPr>
                <w:sz w:val="14"/>
                <w:szCs w:val="14"/>
                <w:color w:val="auto"/>
              </w:rPr>
            </w:pPr>
          </w:p>
        </w:tc>
        <w:tc>
          <w:tcPr>
            <w:tcW w:w="20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Instrument type</w:t>
            </w:r>
          </w:p>
        </w:tc>
        <w:tc>
          <w:tcPr>
            <w:tcW w:w="160" w:type="dxa"/>
            <w:vAlign w:val="bottom"/>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Maturing in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gridSpan w:val="2"/>
          </w:tcPr>
          <w:p>
            <w:pPr>
              <w:spacing w:after="0"/>
              <w:rPr>
                <w:sz w:val="14"/>
                <w:szCs w:val="14"/>
                <w:color w:val="auto"/>
              </w:rPr>
            </w:pPr>
          </w:p>
        </w:tc>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Hedged item</w:t>
            </w:r>
          </w:p>
        </w:tc>
      </w:tr>
      <w:tr>
        <w:trPr>
          <w:trHeight w:val="201"/>
        </w:trPr>
        <w:tc>
          <w:tcPr>
            <w:tcW w:w="1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Cash flow hedges</w:t>
            </w:r>
          </w:p>
        </w:tc>
        <w:tc>
          <w:tcPr>
            <w:tcW w:w="2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Receive 3-month NIBOR,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Nov 2024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32,850</w:t>
            </w: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NOK 2024 Bonds of the</w:t>
            </w:r>
          </w:p>
        </w:tc>
      </w:tr>
      <w:tr>
        <w:trPr>
          <w:trHeight w:val="216"/>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4"/>
              </w:rPr>
              <w:t>same maturity and notional</w:t>
            </w:r>
          </w:p>
        </w:tc>
      </w:tr>
      <w:tr>
        <w:trPr>
          <w:trHeight w:val="224"/>
        </w:trPr>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 the CCSs.</w:t>
            </w:r>
          </w:p>
        </w:tc>
      </w:tr>
      <w:tr>
        <w:trPr>
          <w:trHeight w:val="208"/>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Receive 3-month NIBOR,</w:t>
            </w:r>
          </w:p>
        </w:tc>
        <w:tc>
          <w:tcPr>
            <w:tcW w:w="1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Nov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32,850</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9"/>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Receive 3-month NIBOR,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Nov 2024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32,850</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4"/>
        </w:trPr>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98,550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will continue to apply the amendments to IFRS 9 until the uncertainty arising from the interest rate benchmark reforms with respect to the timing and the amount of the underlying cash flows that the Group is exposed ends. The Group has assumed that this uncertainty will not end until the Group's contracts that reference IBORs are amended to specify the date on which the interest rate benchmark will be replaced, the cash flows of the alternative benchmark rate and relevant spread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tables detail the Group's expected cash flows for its non-derivative financial liabilities. The tables have been drawn up based on the undiscounted cash flows of financial liabilities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560"/>
        <w:spacing w:after="0" w:line="331" w:lineRule="auto"/>
        <w:rPr>
          <w:sz w:val="20"/>
          <w:szCs w:val="20"/>
          <w:color w:val="auto"/>
        </w:rPr>
      </w:pPr>
      <w:r>
        <w:rPr>
          <w:rFonts w:ascii="Arial" w:cs="Arial" w:eastAsia="Arial" w:hAnsi="Arial"/>
          <w:sz w:val="16"/>
          <w:szCs w:val="16"/>
          <w:color w:val="auto"/>
        </w:rPr>
        <w:t>based on the earliest date on which the Group can be required to pay. The table includes both interest and principal cash flows. Variable future interest payments were determined based on an average LIBOR plus the margins applicable to the Group's loans at the end of each year presented.</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effective</w:t>
            </w:r>
          </w:p>
        </w:tc>
        <w:tc>
          <w:tcPr>
            <w:tcW w:w="10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Less than</w:t>
            </w:r>
          </w:p>
        </w:tc>
        <w:tc>
          <w:tcPr>
            <w:tcW w:w="720" w:type="dxa"/>
            <w:vAlign w:val="bottom"/>
          </w:tcPr>
          <w:p>
            <w:pPr>
              <w:jc w:val="right"/>
              <w:ind w:right="155"/>
              <w:spacing w:after="0"/>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2"/>
                <w:szCs w:val="12"/>
                <w:color w:val="auto"/>
              </w:rPr>
            </w:pPr>
          </w:p>
        </w:tc>
        <w:tc>
          <w:tcPr>
            <w:tcW w:w="700" w:type="dxa"/>
            <w:vAlign w:val="bottom"/>
          </w:tcPr>
          <w:p>
            <w:pPr>
              <w:jc w:val="right"/>
              <w:ind w:right="115"/>
              <w:spacing w:after="0"/>
              <w:rPr>
                <w:sz w:val="20"/>
                <w:szCs w:val="20"/>
                <w:color w:val="auto"/>
              </w:rPr>
            </w:pPr>
            <w:r>
              <w:rPr>
                <w:rFonts w:ascii="Arial" w:cs="Arial" w:eastAsia="Arial" w:hAnsi="Arial"/>
                <w:sz w:val="13"/>
                <w:szCs w:val="13"/>
                <w:b w:val="1"/>
                <w:bCs w:val="1"/>
                <w:color w:val="auto"/>
              </w:rPr>
              <w:t>3-12</w:t>
            </w:r>
          </w:p>
        </w:tc>
        <w:tc>
          <w:tcPr>
            <w:tcW w:w="160" w:type="dxa"/>
            <w:vAlign w:val="bottom"/>
          </w:tcPr>
          <w:p>
            <w:pPr>
              <w:spacing w:after="0"/>
              <w:rPr>
                <w:sz w:val="12"/>
                <w:szCs w:val="12"/>
                <w:color w:val="auto"/>
              </w:rPr>
            </w:pPr>
          </w:p>
        </w:tc>
        <w:tc>
          <w:tcPr>
            <w:tcW w:w="840" w:type="dxa"/>
            <w:vAlign w:val="bottom"/>
          </w:tcPr>
          <w:p>
            <w:pPr>
              <w:jc w:val="right"/>
              <w:ind w:right="215"/>
              <w:spacing w:after="0"/>
              <w:rPr>
                <w:sz w:val="20"/>
                <w:szCs w:val="20"/>
                <w:color w:val="auto"/>
              </w:rPr>
            </w:pPr>
            <w:r>
              <w:rPr>
                <w:rFonts w:ascii="Arial" w:cs="Arial" w:eastAsia="Arial" w:hAnsi="Arial"/>
                <w:sz w:val="13"/>
                <w:szCs w:val="13"/>
                <w:b w:val="1"/>
                <w:bCs w:val="1"/>
                <w:color w:val="auto"/>
              </w:rPr>
              <w:t>1 - 5</w:t>
            </w:r>
          </w:p>
        </w:tc>
        <w:tc>
          <w:tcPr>
            <w:tcW w:w="160" w:type="dxa"/>
            <w:vAlign w:val="bottom"/>
          </w:tcPr>
          <w:p>
            <w:pPr>
              <w:spacing w:after="0"/>
              <w:rPr>
                <w:sz w:val="12"/>
                <w:szCs w:val="12"/>
                <w:color w:val="auto"/>
              </w:rPr>
            </w:pPr>
          </w:p>
        </w:tc>
        <w:tc>
          <w:tcPr>
            <w:tcW w:w="800" w:type="dxa"/>
            <w:vAlign w:val="bottom"/>
          </w:tcPr>
          <w:p>
            <w:pPr>
              <w:jc w:val="right"/>
              <w:ind w:right="255"/>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interest rate</w:t>
            </w:r>
          </w:p>
        </w:tc>
        <w:tc>
          <w:tcPr>
            <w:tcW w:w="1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1 month</w:t>
            </w: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months</w:t>
            </w: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months</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years</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years</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Trade and other accounts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payable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24,306</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27,615</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related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w w:val="94"/>
              </w:rPr>
              <w:t>Other payables and accruals*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31,036</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49,548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85,794</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non-current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45,591</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44,867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208,217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2,004,266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807,894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3,110,835</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496,780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583,442</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14,292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75,823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200,890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296,122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152,104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110,366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255,885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2,577,420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1,009,958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4,105,733</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and other accounts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payable</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24,651</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25,046</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Amounts due to related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parties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7"/>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Other payables and accruals*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28,940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81,258</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w w:val="99"/>
              </w:rPr>
              <w:t>Other non-current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39,196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227,325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2,224,725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1,264,577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3,810,715</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Bonds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10,640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32,485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478,314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521,439</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75,303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182,880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277,372</w:t>
            </w:r>
          </w:p>
        </w:tc>
        <w:tc>
          <w:tcPr>
            <w:tcW w:w="0" w:type="dxa"/>
            <w:vAlign w:val="bottom"/>
          </w:tcPr>
          <w:p>
            <w:pPr>
              <w:spacing w:after="0"/>
              <w:rPr>
                <w:sz w:val="1"/>
                <w:szCs w:val="1"/>
                <w:color w:val="auto"/>
              </w:rPr>
            </w:pPr>
          </w:p>
        </w:tc>
      </w:tr>
      <w:tr>
        <w:trPr>
          <w:trHeight w:val="210"/>
        </w:trPr>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116,382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82,266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291,547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2,778,954</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1,448,836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4,717,985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Non-financial liabilities are excluded.</w:t>
      </w:r>
    </w:p>
    <w:p>
      <w:pPr>
        <w:spacing w:after="0" w:line="21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illustrated by the yield curves existing at the end of the reporting period. The undiscounted contractual cash flows are based on the contractual maturities of the derivatives.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Less than</w:t>
            </w: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3"/>
                <w:szCs w:val="13"/>
                <w:color w:val="auto"/>
              </w:rPr>
            </w:pPr>
          </w:p>
        </w:tc>
        <w:tc>
          <w:tcPr>
            <w:tcW w:w="980" w:type="dxa"/>
            <w:vAlign w:val="bottom"/>
          </w:tcPr>
          <w:p>
            <w:pPr>
              <w:jc w:val="right"/>
              <w:ind w:right="236"/>
              <w:spacing w:after="0"/>
              <w:rPr>
                <w:sz w:val="20"/>
                <w:szCs w:val="20"/>
                <w:color w:val="auto"/>
              </w:rPr>
            </w:pPr>
            <w:r>
              <w:rPr>
                <w:rFonts w:ascii="Arial" w:cs="Arial" w:eastAsia="Arial" w:hAnsi="Arial"/>
                <w:sz w:val="13"/>
                <w:szCs w:val="13"/>
                <w:b w:val="1"/>
                <w:bCs w:val="1"/>
                <w:color w:val="auto"/>
              </w:rPr>
              <w:t>3-12</w:t>
            </w:r>
          </w:p>
        </w:tc>
        <w:tc>
          <w:tcPr>
            <w:tcW w:w="160" w:type="dxa"/>
            <w:vAlign w:val="bottom"/>
          </w:tcPr>
          <w:p>
            <w:pPr>
              <w:spacing w:after="0"/>
              <w:rPr>
                <w:sz w:val="13"/>
                <w:szCs w:val="13"/>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b w:val="1"/>
                <w:bCs w:val="1"/>
                <w:color w:val="auto"/>
              </w:rPr>
              <w:t>1 - 5</w:t>
            </w:r>
          </w:p>
        </w:tc>
        <w:tc>
          <w:tcPr>
            <w:tcW w:w="160" w:type="dxa"/>
            <w:vAlign w:val="bottom"/>
          </w:tcPr>
          <w:p>
            <w:pPr>
              <w:spacing w:after="0"/>
              <w:rPr>
                <w:sz w:val="13"/>
                <w:szCs w:val="13"/>
                <w:color w:val="auto"/>
              </w:rPr>
            </w:pPr>
          </w:p>
        </w:tc>
        <w:tc>
          <w:tcPr>
            <w:tcW w:w="700" w:type="dxa"/>
            <w:vAlign w:val="bottom"/>
          </w:tcPr>
          <w:p>
            <w:pPr>
              <w:jc w:val="right"/>
              <w:ind w:right="196"/>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1 month</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months</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months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years</w:t>
            </w: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years</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5,364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42,016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52,488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 currency swaps</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Forward foreign exchange contracts</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4,570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38,426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5,049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47,977</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33,772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114,559</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foreign exchange contracts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33,590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68,371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and arises from cash and cash equivalents, short-term investments, favorable derivative financial instruments and deposits with banks and financial institutions, as well as credit exposures to customers, including trade and other receivables, dividends receivable and other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367,269</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700" w:type="dxa"/>
            <w:vAlign w:val="bottom"/>
          </w:tcPr>
          <w:p>
            <w:pPr>
              <w:jc w:val="right"/>
              <w:spacing w:after="0"/>
              <w:rPr>
                <w:sz w:val="20"/>
                <w:szCs w:val="20"/>
                <w:color w:val="auto"/>
              </w:rPr>
            </w:pPr>
            <w:r>
              <w:rPr>
                <w:rFonts w:ascii="Arial" w:cs="Arial" w:eastAsia="Arial" w:hAnsi="Arial"/>
                <w:sz w:val="18"/>
                <w:szCs w:val="18"/>
                <w:color w:val="auto"/>
              </w:rPr>
              <w:t>573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For the year ended December 31, 2020, 57.2% of the Group's revenue was earned from Shell (December 31, 2019 and December 31, 2018, 70.0% and 74.2%, respectively) and accounts receivable were not collateralized; however, management believes that the credit risk is partially offset by the creditworthiness of the Group's counterparties. The Group did not experience significant credit losses on its accounts receivable portfolio during the three years ended December 31, 2020.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Capital Risk Management</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monitors capital using a gearing ratio, which is total debt divided by total equity plus total debt. The gearing ratio is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2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w w:val="92"/>
              </w:rPr>
              <w:t>As of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Borrowings,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255,422</w:t>
            </w: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245,626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840" w:type="dxa"/>
            <w:vAlign w:val="bottom"/>
          </w:tcPr>
          <w:p>
            <w:pPr>
              <w:jc w:val="right"/>
              <w:spacing w:after="0"/>
              <w:rPr>
                <w:sz w:val="20"/>
                <w:szCs w:val="20"/>
                <w:color w:val="auto"/>
              </w:rPr>
            </w:pPr>
            <w:r>
              <w:rPr>
                <w:rFonts w:ascii="Arial" w:cs="Arial" w:eastAsia="Arial" w:hAnsi="Arial"/>
                <w:sz w:val="18"/>
                <w:szCs w:val="18"/>
                <w:color w:val="auto"/>
              </w:rPr>
              <w:t>2,891,973</w:t>
            </w:r>
          </w:p>
        </w:tc>
        <w:tc>
          <w:tcPr>
            <w:tcW w:w="20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3,527,595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9,644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 liabilities, non-current portion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186,526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3,352,325</w:t>
            </w: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3,969,391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1,649,853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1,597,137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5,002,178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5,566,528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Gearing ratio</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gridSpan w:val="2"/>
            <w:vMerge w:val="continue"/>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67.0%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71.3%</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26. Derivative Financial Instruments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1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3"/>
                <w:szCs w:val="13"/>
                <w:b w:val="1"/>
                <w:bCs w:val="1"/>
                <w:color w:val="auto"/>
              </w:rPr>
              <w:t>2019</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Derivative assets carried at fair value through profit or loss (FVTPL)</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64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3"/>
              </w:rPr>
              <w:t>Derivative assets designated and effective as hedging instruments carried at fair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6,095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4,001</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6,095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40" w:type="dxa"/>
            <w:vAlign w:val="bottom"/>
            <w:vMerge w:val="restart"/>
          </w:tcPr>
          <w:p>
            <w:pPr>
              <w:ind w:left="3760"/>
              <w:spacing w:after="0"/>
              <w:rPr>
                <w:sz w:val="20"/>
                <w:szCs w:val="20"/>
                <w:color w:val="auto"/>
              </w:rPr>
            </w:pPr>
            <w:r>
              <w:rPr>
                <w:rFonts w:ascii="Arial" w:cs="Arial" w:eastAsia="Arial" w:hAnsi="Arial"/>
                <w:sz w:val="18"/>
                <w:szCs w:val="18"/>
                <w:color w:val="auto"/>
              </w:rPr>
              <w:t>F-72</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liabilities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200" w:type="dxa"/>
            <w:vAlign w:val="bottom"/>
          </w:tcPr>
          <w:p>
            <w:pPr>
              <w:spacing w:after="0"/>
              <w:rPr>
                <w:sz w:val="12"/>
                <w:szCs w:val="12"/>
                <w:color w:val="auto"/>
              </w:rPr>
            </w:pPr>
          </w:p>
        </w:tc>
        <w:tc>
          <w:tcPr>
            <w:tcW w:w="62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2019</w:t>
            </w: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tcPr>
          <w:p>
            <w:pPr>
              <w:jc w:val="right"/>
              <w:spacing w:after="0"/>
              <w:rPr>
                <w:sz w:val="20"/>
                <w:szCs w:val="20"/>
                <w:color w:val="auto"/>
              </w:rPr>
            </w:pPr>
            <w:r>
              <w:rPr>
                <w:rFonts w:ascii="Arial" w:cs="Arial" w:eastAsia="Arial" w:hAnsi="Arial"/>
                <w:sz w:val="18"/>
                <w:szCs w:val="18"/>
                <w:color w:val="auto"/>
              </w:rPr>
              <w:t>49,891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113,855</w:t>
            </w: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49,932</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113,855</w:t>
            </w:r>
          </w:p>
        </w:tc>
        <w:tc>
          <w:tcPr>
            <w:tcW w:w="16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8,095</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35,415</w:t>
            </w:r>
          </w:p>
        </w:tc>
        <w:tc>
          <w:tcPr>
            <w:tcW w:w="16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41,837</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78,440</w:t>
            </w:r>
          </w:p>
        </w:tc>
        <w:tc>
          <w:tcPr>
            <w:tcW w:w="160" w:type="dxa"/>
            <w:vAlign w:val="bottom"/>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113,855</w:t>
            </w:r>
          </w:p>
        </w:tc>
        <w:tc>
          <w:tcPr>
            <w:tcW w:w="16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LIBOR, and the Group effects quarterly payments to the bank on the notional amount at the respective fixed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and 2020, there are no interest rate swaps designated as cash flow hedging instruments for accounting purposes.</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Fixed</w:t>
            </w:r>
          </w:p>
        </w:tc>
        <w:tc>
          <w:tcPr>
            <w:tcW w:w="1960" w:type="dxa"/>
            <w:vAlign w:val="bottom"/>
            <w:gridSpan w:val="4"/>
          </w:tcPr>
          <w:p>
            <w:pPr>
              <w:ind w:left="40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Trade</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Effective</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Termination</w:t>
            </w:r>
          </w:p>
        </w:tc>
        <w:tc>
          <w:tcPr>
            <w:tcW w:w="1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Interest</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Deutsche Bank AG</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July 2016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July 2016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July 2020</w:t>
            </w:r>
          </w:p>
        </w:tc>
        <w:tc>
          <w:tcPr>
            <w:tcW w:w="1040" w:type="dxa"/>
            <w:vAlign w:val="bottom"/>
            <w:gridSpan w:val="2"/>
            <w:shd w:val="clear" w:color="auto" w:fill="CCEEFF"/>
          </w:tcPr>
          <w:p>
            <w:pPr>
              <w:jc w:val="center"/>
              <w:ind w:left="113"/>
              <w:spacing w:after="0" w:line="142" w:lineRule="exact"/>
              <w:rPr>
                <w:sz w:val="20"/>
                <w:szCs w:val="20"/>
                <w:color w:val="auto"/>
              </w:rPr>
            </w:pPr>
            <w:r>
              <w:rPr>
                <w:rFonts w:ascii="Arial" w:cs="Arial" w:eastAsia="Arial" w:hAnsi="Arial"/>
                <w:sz w:val="13"/>
                <w:szCs w:val="13"/>
                <w:color w:val="auto"/>
                <w:w w:val="92"/>
              </w:rPr>
              <w:t>1.98%</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66,667</w:t>
            </w:r>
          </w:p>
        </w:tc>
        <w:tc>
          <w:tcPr>
            <w:tcW w:w="980" w:type="dxa"/>
            <w:vAlign w:val="bottom"/>
            <w:gridSpan w:val="2"/>
            <w:shd w:val="clear" w:color="auto" w:fill="CCEEFF"/>
          </w:tcPr>
          <w:p>
            <w:pPr>
              <w:ind w:left="580"/>
              <w:spacing w:after="0" w:line="142"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Deutsche Bank AG</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2021</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2"/>
              </w:rPr>
              <w:t>1.98%</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66,667</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Deutsche Bank AG</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2022</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2"/>
              </w:rPr>
              <w:t>1.98%</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2022</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1.719%</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73,333</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73,333</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HSBC</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2022</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2"/>
              </w:rPr>
              <w:t>1.79%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33,333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33,333</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GasLog</w:t>
            </w:r>
            <w:r>
              <w:rPr>
                <w:rFonts w:ascii="Arial" w:cs="Arial" w:eastAsia="Arial" w:hAnsi="Arial"/>
                <w:sz w:val="17"/>
                <w:szCs w:val="17"/>
                <w:color w:val="auto"/>
                <w:vertAlign w:val="superscript"/>
              </w:rPr>
              <w:t>(1)</w:t>
            </w:r>
          </w:p>
        </w:tc>
        <w:tc>
          <w:tcPr>
            <w:tcW w:w="1540" w:type="dxa"/>
            <w:vAlign w:val="bottom"/>
            <w:gridSpan w:val="2"/>
          </w:tcPr>
          <w:p>
            <w:pPr>
              <w:spacing w:after="0"/>
              <w:rPr>
                <w:sz w:val="20"/>
                <w:szCs w:val="20"/>
                <w:color w:val="auto"/>
              </w:rPr>
            </w:pPr>
            <w:r>
              <w:rPr>
                <w:rFonts w:ascii="Arial" w:cs="Arial" w:eastAsia="Arial" w:hAnsi="Arial"/>
                <w:sz w:val="13"/>
                <w:szCs w:val="13"/>
                <w:color w:val="auto"/>
              </w:rPr>
              <w:t>Nordea Bank Finland</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2020</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1.815%</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66,667</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("Nordea")</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(1)</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SCB</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2020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2022</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2.015%</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SEB</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July 2016</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2016</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2021</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7"/>
              </w:rPr>
              <w:t>1.8405%</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50,000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(2)</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HSBC</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 2017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 2017</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 2022</w:t>
            </w:r>
          </w:p>
        </w:tc>
        <w:tc>
          <w:tcPr>
            <w:tcW w:w="104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4"/>
              </w:rPr>
              <w:t>2.005%/2.17%</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76"/>
        </w:trPr>
        <w:tc>
          <w:tcPr>
            <w:tcW w:w="1380" w:type="dxa"/>
            <w:vAlign w:val="bottom"/>
            <w:gridSpan w:val="2"/>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(1)</w:t>
            </w:r>
          </w:p>
        </w:tc>
        <w:tc>
          <w:tcPr>
            <w:tcW w:w="1540" w:type="dxa"/>
            <w:vAlign w:val="bottom"/>
            <w:gridSpan w:val="2"/>
          </w:tcPr>
          <w:p>
            <w:pPr>
              <w:spacing w:after="0"/>
              <w:rPr>
                <w:sz w:val="20"/>
                <w:szCs w:val="20"/>
                <w:color w:val="auto"/>
              </w:rPr>
            </w:pPr>
            <w:r>
              <w:rPr>
                <w:rFonts w:ascii="Arial" w:cs="Arial" w:eastAsia="Arial" w:hAnsi="Arial"/>
                <w:sz w:val="13"/>
                <w:szCs w:val="13"/>
                <w:color w:val="auto"/>
              </w:rPr>
              <w:t>Nordea</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Feb 2017</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Feb 2017</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2020</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7"/>
              </w:rPr>
              <w:t>2.0145%</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100,000</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(1)</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SCB</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July 2020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 2017</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Mar 2022</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7"/>
              </w:rPr>
              <w:t>2.2145%</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49"/>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ABN</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Feb 2017</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4"/>
              </w:rPr>
              <w:t>Feb 2017</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Mar 2022</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2.003%</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100,000</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Nordea</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2026</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3.070%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Nordea</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2026</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2.562%</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66,667</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SEB</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2024</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3.025%</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6"/>
        </w:trPr>
        <w:tc>
          <w:tcPr>
            <w:tcW w:w="1380" w:type="dxa"/>
            <w:vAlign w:val="bottom"/>
            <w:gridSpan w:val="2"/>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(7)</w:t>
            </w:r>
          </w:p>
        </w:tc>
        <w:tc>
          <w:tcPr>
            <w:tcW w:w="1540" w:type="dxa"/>
            <w:vAlign w:val="bottom"/>
            <w:gridSpan w:val="2"/>
          </w:tcPr>
          <w:p>
            <w:pPr>
              <w:spacing w:after="0"/>
              <w:rPr>
                <w:sz w:val="20"/>
                <w:szCs w:val="20"/>
                <w:color w:val="auto"/>
              </w:rPr>
            </w:pPr>
            <w:r>
              <w:rPr>
                <w:rFonts w:ascii="Arial" w:cs="Arial" w:eastAsia="Arial" w:hAnsi="Arial"/>
                <w:sz w:val="13"/>
                <w:szCs w:val="13"/>
                <w:color w:val="auto"/>
              </w:rPr>
              <w:t>SEB</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Apr 2018</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September 2020</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2.300%</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50,000</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5"/>
        </w:trPr>
        <w:tc>
          <w:tcPr>
            <w:tcW w:w="1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(5)</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3.056%</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3"/>
        </w:trPr>
        <w:tc>
          <w:tcPr>
            <w:tcW w:w="138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GAS-twenty</w:t>
            </w:r>
          </w:p>
        </w:tc>
        <w:tc>
          <w:tcPr>
            <w:tcW w:w="1540" w:type="dxa"/>
            <w:vAlign w:val="bottom"/>
            <w:gridSpan w:val="2"/>
          </w:tcPr>
          <w:p>
            <w:pPr>
              <w:spacing w:after="0" w:line="133" w:lineRule="exact"/>
              <w:rPr>
                <w:sz w:val="20"/>
                <w:szCs w:val="20"/>
                <w:color w:val="auto"/>
              </w:rPr>
            </w:pPr>
            <w:r>
              <w:rPr>
                <w:rFonts w:ascii="Arial" w:cs="Arial" w:eastAsia="Arial" w:hAnsi="Arial"/>
                <w:sz w:val="13"/>
                <w:szCs w:val="13"/>
                <w:color w:val="auto"/>
              </w:rPr>
              <w:t>DNB</w:t>
            </w:r>
          </w:p>
        </w:tc>
        <w:tc>
          <w:tcPr>
            <w:tcW w:w="16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3"/>
                <w:szCs w:val="13"/>
                <w:color w:val="auto"/>
                <w:w w:val="96"/>
              </w:rPr>
              <w:t>July 2020</w:t>
            </w:r>
          </w:p>
        </w:tc>
        <w:tc>
          <w:tcPr>
            <w:tcW w:w="1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w w:val="93"/>
              </w:rPr>
              <w:t>July 2020</w:t>
            </w:r>
          </w:p>
        </w:tc>
        <w:tc>
          <w:tcPr>
            <w:tcW w:w="1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3"/>
              </w:rPr>
              <w:t>July 2024</w:t>
            </w:r>
          </w:p>
        </w:tc>
        <w:tc>
          <w:tcPr>
            <w:tcW w:w="1040" w:type="dxa"/>
            <w:vAlign w:val="bottom"/>
            <w:gridSpan w:val="2"/>
          </w:tcPr>
          <w:p>
            <w:pPr>
              <w:jc w:val="center"/>
              <w:ind w:left="113"/>
              <w:spacing w:after="0" w:line="133" w:lineRule="exact"/>
              <w:rPr>
                <w:sz w:val="20"/>
                <w:szCs w:val="20"/>
                <w:color w:val="auto"/>
              </w:rPr>
            </w:pPr>
            <w:r>
              <w:rPr>
                <w:rFonts w:ascii="Arial" w:cs="Arial" w:eastAsia="Arial" w:hAnsi="Arial"/>
                <w:sz w:val="13"/>
                <w:szCs w:val="13"/>
                <w:color w:val="auto"/>
                <w:w w:val="95"/>
              </w:rPr>
              <w:t>3.146%</w:t>
            </w:r>
          </w:p>
        </w:tc>
        <w:tc>
          <w:tcPr>
            <w:tcW w:w="160" w:type="dxa"/>
            <w:vAlign w:val="bottom"/>
          </w:tcPr>
          <w:p>
            <w:pPr>
              <w:spacing w:after="0"/>
              <w:rPr>
                <w:sz w:val="11"/>
                <w:szCs w:val="11"/>
                <w:color w:val="auto"/>
              </w:rPr>
            </w:pP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N/A</w:t>
            </w: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48,889</w:t>
            </w: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line="191" w:lineRule="exact"/>
              <w:rPr>
                <w:sz w:val="20"/>
                <w:szCs w:val="20"/>
                <w:color w:val="auto"/>
              </w:rPr>
            </w:pPr>
            <w:r>
              <w:rPr>
                <w:rFonts w:ascii="Arial" w:cs="Arial" w:eastAsia="Arial" w:hAnsi="Arial"/>
                <w:sz w:val="13"/>
                <w:szCs w:val="13"/>
                <w:color w:val="auto"/>
              </w:rPr>
              <w:t>seven Ltd.</w:t>
            </w:r>
            <w:r>
              <w:rPr>
                <w:rFonts w:ascii="Arial" w:cs="Arial" w:eastAsia="Arial" w:hAnsi="Arial"/>
                <w:sz w:val="22"/>
                <w:szCs w:val="22"/>
                <w:color w:val="auto"/>
                <w:vertAlign w:val="superscript"/>
              </w:rPr>
              <w:t>(5)</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GAS-twenty</w:t>
            </w:r>
          </w:p>
        </w:tc>
        <w:tc>
          <w:tcPr>
            <w:tcW w:w="15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ING</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6"/>
              </w:rPr>
              <w:t>July 2020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July 2024</w:t>
            </w:r>
          </w:p>
        </w:tc>
        <w:tc>
          <w:tcPr>
            <w:tcW w:w="1040" w:type="dxa"/>
            <w:vAlign w:val="bottom"/>
            <w:gridSpan w:val="2"/>
            <w:shd w:val="clear" w:color="auto" w:fill="CCEEFF"/>
          </w:tcPr>
          <w:p>
            <w:pPr>
              <w:jc w:val="center"/>
              <w:ind w:left="113"/>
              <w:spacing w:after="0" w:line="133" w:lineRule="exact"/>
              <w:rPr>
                <w:sz w:val="20"/>
                <w:szCs w:val="20"/>
                <w:color w:val="auto"/>
              </w:rPr>
            </w:pPr>
            <w:r>
              <w:rPr>
                <w:rFonts w:ascii="Arial" w:cs="Arial" w:eastAsia="Arial" w:hAnsi="Arial"/>
                <w:sz w:val="13"/>
                <w:szCs w:val="13"/>
                <w:color w:val="auto"/>
                <w:w w:val="92"/>
              </w:rPr>
              <w:t>3.24%</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24,444</w:t>
            </w: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line="191" w:lineRule="exact"/>
              <w:rPr>
                <w:sz w:val="20"/>
                <w:szCs w:val="20"/>
                <w:color w:val="auto"/>
              </w:rPr>
            </w:pPr>
            <w:r>
              <w:rPr>
                <w:rFonts w:ascii="Arial" w:cs="Arial" w:eastAsia="Arial" w:hAnsi="Arial"/>
                <w:sz w:val="13"/>
                <w:szCs w:val="13"/>
                <w:color w:val="auto"/>
              </w:rPr>
              <w:t>seven Ltd.</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2018</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2025</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2.472%</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73,333</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73,333</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HSBC</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Apr 2018</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2024</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2.475%</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33,333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33,333</w:t>
            </w: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rPr>
                <w:sz w:val="20"/>
                <w:szCs w:val="20"/>
                <w:color w:val="auto"/>
              </w:rPr>
            </w:pPr>
            <w:r>
              <w:rPr>
                <w:rFonts w:ascii="Arial" w:cs="Arial" w:eastAsia="Arial" w:hAnsi="Arial"/>
                <w:sz w:val="13"/>
                <w:szCs w:val="13"/>
                <w:color w:val="auto"/>
              </w:rPr>
              <w:t>HSBC</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8"/>
              </w:rPr>
              <w:t>Apr 2018</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2025</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2.550%</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33,333</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33,333</w:t>
            </w:r>
          </w:p>
        </w:tc>
        <w:tc>
          <w:tcPr>
            <w:tcW w:w="0" w:type="dxa"/>
            <w:vAlign w:val="bottom"/>
          </w:tcPr>
          <w:p>
            <w:pPr>
              <w:spacing w:after="0"/>
              <w:rPr>
                <w:sz w:val="1"/>
                <w:szCs w:val="1"/>
                <w:color w:val="auto"/>
              </w:rPr>
            </w:pPr>
          </w:p>
        </w:tc>
      </w:tr>
      <w:tr>
        <w:trPr>
          <w:trHeight w:val="138"/>
        </w:trPr>
        <w:tc>
          <w:tcPr>
            <w:tcW w:w="1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Citibank Europe Plc.</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May 2018</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July 2024</w:t>
            </w:r>
          </w:p>
        </w:tc>
        <w:tc>
          <w:tcPr>
            <w:tcW w:w="1040" w:type="dxa"/>
            <w:vAlign w:val="bottom"/>
            <w:gridSpan w:val="2"/>
            <w:shd w:val="clear" w:color="auto" w:fill="CCEEFF"/>
          </w:tcPr>
          <w:p>
            <w:pPr>
              <w:jc w:val="center"/>
              <w:ind w:left="113"/>
              <w:spacing w:after="0" w:line="138" w:lineRule="exact"/>
              <w:rPr>
                <w:sz w:val="20"/>
                <w:szCs w:val="20"/>
                <w:color w:val="auto"/>
              </w:rPr>
            </w:pPr>
            <w:r>
              <w:rPr>
                <w:rFonts w:ascii="Arial" w:cs="Arial" w:eastAsia="Arial" w:hAnsi="Arial"/>
                <w:sz w:val="13"/>
                <w:szCs w:val="13"/>
                <w:color w:val="auto"/>
                <w:w w:val="95"/>
              </w:rPr>
              <w:t>3.082%</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59"/>
        </w:trPr>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("CITI")</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80" w:type="dxa"/>
            <w:vAlign w:val="bottom"/>
            <w:gridSpan w:val="2"/>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(3)</w:t>
            </w:r>
          </w:p>
        </w:tc>
        <w:tc>
          <w:tcPr>
            <w:tcW w:w="1540" w:type="dxa"/>
            <w:vAlign w:val="bottom"/>
            <w:gridSpan w:val="2"/>
          </w:tcPr>
          <w:p>
            <w:pPr>
              <w:spacing w:after="0"/>
              <w:rPr>
                <w:sz w:val="20"/>
                <w:szCs w:val="20"/>
                <w:color w:val="auto"/>
              </w:rPr>
            </w:pPr>
            <w:r>
              <w:rPr>
                <w:rFonts w:ascii="Arial" w:cs="Arial" w:eastAsia="Arial" w:hAnsi="Arial"/>
                <w:sz w:val="13"/>
                <w:szCs w:val="13"/>
                <w:color w:val="auto"/>
              </w:rPr>
              <w:t>CITI</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2018</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2021</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2025</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3.095%</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1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SEB</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October 2018</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July 2026</w:t>
            </w:r>
          </w:p>
        </w:tc>
        <w:tc>
          <w:tcPr>
            <w:tcW w:w="1040" w:type="dxa"/>
            <w:vAlign w:val="bottom"/>
            <w:gridSpan w:val="2"/>
            <w:shd w:val="clear" w:color="auto" w:fill="CCEEFF"/>
          </w:tcPr>
          <w:p>
            <w:pPr>
              <w:jc w:val="center"/>
              <w:ind w:left="113"/>
              <w:spacing w:after="0" w:line="138" w:lineRule="exact"/>
              <w:rPr>
                <w:sz w:val="20"/>
                <w:szCs w:val="20"/>
                <w:color w:val="auto"/>
              </w:rPr>
            </w:pPr>
            <w:r>
              <w:rPr>
                <w:rFonts w:ascii="Arial" w:cs="Arial" w:eastAsia="Arial" w:hAnsi="Arial"/>
                <w:sz w:val="13"/>
                <w:szCs w:val="13"/>
                <w:color w:val="auto"/>
                <w:w w:val="95"/>
              </w:rPr>
              <w:t>2.745%</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50,000</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9"/>
        </w:trPr>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line="138" w:lineRule="exact"/>
              <w:rPr>
                <w:sz w:val="20"/>
                <w:szCs w:val="20"/>
                <w:color w:val="auto"/>
              </w:rPr>
            </w:pPr>
            <w:r>
              <w:rPr>
                <w:rFonts w:ascii="Arial" w:cs="Arial" w:eastAsia="Arial" w:hAnsi="Arial"/>
                <w:sz w:val="13"/>
                <w:szCs w:val="13"/>
                <w:color w:val="auto"/>
              </w:rPr>
              <w:t>Nordea</w:t>
            </w:r>
          </w:p>
        </w:tc>
        <w:tc>
          <w:tcPr>
            <w:tcW w:w="16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16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auto"/>
                <w:w w:val="93"/>
              </w:rPr>
              <w:t>October 2018</w:t>
            </w:r>
          </w:p>
        </w:tc>
        <w:tc>
          <w:tcPr>
            <w:tcW w:w="16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auto"/>
                <w:w w:val="93"/>
              </w:rPr>
              <w:t>July 2028</w:t>
            </w:r>
          </w:p>
        </w:tc>
        <w:tc>
          <w:tcPr>
            <w:tcW w:w="1040" w:type="dxa"/>
            <w:vAlign w:val="bottom"/>
            <w:gridSpan w:val="2"/>
          </w:tcPr>
          <w:p>
            <w:pPr>
              <w:jc w:val="center"/>
              <w:ind w:left="113"/>
              <w:spacing w:after="0" w:line="138" w:lineRule="exact"/>
              <w:rPr>
                <w:sz w:val="20"/>
                <w:szCs w:val="20"/>
                <w:color w:val="auto"/>
              </w:rPr>
            </w:pPr>
            <w:r>
              <w:rPr>
                <w:rFonts w:ascii="Arial" w:cs="Arial" w:eastAsia="Arial" w:hAnsi="Arial"/>
                <w:sz w:val="13"/>
                <w:szCs w:val="13"/>
                <w:color w:val="auto"/>
                <w:w w:val="95"/>
              </w:rPr>
              <w:t>2.793%</w:t>
            </w:r>
          </w:p>
        </w:tc>
        <w:tc>
          <w:tcPr>
            <w:tcW w:w="160" w:type="dxa"/>
            <w:vAlign w:val="bottom"/>
          </w:tcPr>
          <w:p>
            <w:pPr>
              <w:spacing w:after="0"/>
              <w:rPr>
                <w:sz w:val="11"/>
                <w:szCs w:val="11"/>
                <w:color w:val="auto"/>
              </w:rPr>
            </w:pPr>
          </w:p>
        </w:tc>
        <w:tc>
          <w:tcPr>
            <w:tcW w:w="9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66,667</w:t>
            </w:r>
          </w:p>
        </w:tc>
        <w:tc>
          <w:tcPr>
            <w:tcW w:w="9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66,667</w:t>
            </w: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w:t>
            </w:r>
          </w:p>
        </w:tc>
        <w:tc>
          <w:tcPr>
            <w:tcW w:w="15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January 2019</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July 2025</w:t>
            </w:r>
          </w:p>
        </w:tc>
        <w:tc>
          <w:tcPr>
            <w:tcW w:w="1040" w:type="dxa"/>
            <w:vAlign w:val="bottom"/>
            <w:gridSpan w:val="2"/>
            <w:shd w:val="clear" w:color="auto" w:fill="CCEEFF"/>
          </w:tcPr>
          <w:p>
            <w:pPr>
              <w:jc w:val="center"/>
              <w:ind w:left="113"/>
              <w:spacing w:after="0" w:line="138" w:lineRule="exact"/>
              <w:rPr>
                <w:sz w:val="20"/>
                <w:szCs w:val="20"/>
                <w:color w:val="auto"/>
              </w:rPr>
            </w:pPr>
            <w:r>
              <w:rPr>
                <w:rFonts w:ascii="Arial" w:cs="Arial" w:eastAsia="Arial" w:hAnsi="Arial"/>
                <w:sz w:val="13"/>
                <w:szCs w:val="13"/>
                <w:color w:val="auto"/>
                <w:w w:val="95"/>
              </w:rPr>
              <w:t>2.685%</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73,333</w:t>
            </w:r>
          </w:p>
        </w:tc>
        <w:tc>
          <w:tcPr>
            <w:tcW w:w="9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73,333</w:t>
            </w:r>
          </w:p>
        </w:tc>
        <w:tc>
          <w:tcPr>
            <w:tcW w:w="0" w:type="dxa"/>
            <w:vAlign w:val="bottom"/>
          </w:tcPr>
          <w:p>
            <w:pPr>
              <w:spacing w:after="0"/>
              <w:rPr>
                <w:sz w:val="1"/>
                <w:szCs w:val="1"/>
                <w:color w:val="auto"/>
              </w:rPr>
            </w:pPr>
          </w:p>
        </w:tc>
      </w:tr>
      <w:tr>
        <w:trPr>
          <w:trHeight w:val="159"/>
        </w:trPr>
        <w:tc>
          <w:tcPr>
            <w:tcW w:w="5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GasLog</w:t>
            </w:r>
          </w:p>
        </w:tc>
        <w:tc>
          <w:tcPr>
            <w:tcW w:w="1540" w:type="dxa"/>
            <w:vAlign w:val="bottom"/>
            <w:gridSpan w:val="2"/>
          </w:tcPr>
          <w:p>
            <w:pPr>
              <w:spacing w:after="0" w:line="138" w:lineRule="exact"/>
              <w:rPr>
                <w:sz w:val="20"/>
                <w:szCs w:val="20"/>
                <w:color w:val="auto"/>
              </w:rPr>
            </w:pPr>
            <w:r>
              <w:rPr>
                <w:rFonts w:ascii="Arial" w:cs="Arial" w:eastAsia="Arial" w:hAnsi="Arial"/>
                <w:sz w:val="13"/>
                <w:szCs w:val="13"/>
                <w:color w:val="auto"/>
              </w:rPr>
              <w:t>SEB</w:t>
            </w:r>
          </w:p>
        </w:tc>
        <w:tc>
          <w:tcPr>
            <w:tcW w:w="16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color w:val="auto"/>
                <w:w w:val="93"/>
              </w:rPr>
              <w:t>December</w:t>
            </w:r>
          </w:p>
        </w:tc>
        <w:tc>
          <w:tcPr>
            <w:tcW w:w="16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color w:val="auto"/>
                <w:w w:val="93"/>
              </w:rPr>
              <w:t>July 2020</w:t>
            </w:r>
          </w:p>
        </w:tc>
        <w:tc>
          <w:tcPr>
            <w:tcW w:w="160" w:type="dxa"/>
            <w:vAlign w:val="bottom"/>
          </w:tcPr>
          <w:p>
            <w:pPr>
              <w:spacing w:after="0"/>
              <w:rPr>
                <w:sz w:val="11"/>
                <w:szCs w:val="11"/>
                <w:color w:val="auto"/>
              </w:rPr>
            </w:pPr>
          </w:p>
        </w:tc>
        <w:tc>
          <w:tcPr>
            <w:tcW w:w="1000" w:type="dxa"/>
            <w:vAlign w:val="bottom"/>
          </w:tcPr>
          <w:p>
            <w:pPr>
              <w:jc w:val="center"/>
              <w:spacing w:after="0" w:line="138" w:lineRule="exact"/>
              <w:rPr>
                <w:sz w:val="20"/>
                <w:szCs w:val="20"/>
                <w:color w:val="auto"/>
              </w:rPr>
            </w:pPr>
            <w:r>
              <w:rPr>
                <w:rFonts w:ascii="Arial" w:cs="Arial" w:eastAsia="Arial" w:hAnsi="Arial"/>
                <w:sz w:val="13"/>
                <w:szCs w:val="13"/>
                <w:color w:val="auto"/>
                <w:w w:val="93"/>
              </w:rPr>
              <w:t>July 2024</w:t>
            </w:r>
          </w:p>
        </w:tc>
        <w:tc>
          <w:tcPr>
            <w:tcW w:w="1040" w:type="dxa"/>
            <w:vAlign w:val="bottom"/>
            <w:gridSpan w:val="2"/>
          </w:tcPr>
          <w:p>
            <w:pPr>
              <w:jc w:val="center"/>
              <w:ind w:left="113"/>
              <w:spacing w:after="0" w:line="138" w:lineRule="exact"/>
              <w:rPr>
                <w:sz w:val="20"/>
                <w:szCs w:val="20"/>
                <w:color w:val="auto"/>
              </w:rPr>
            </w:pPr>
            <w:r>
              <w:rPr>
                <w:rFonts w:ascii="Arial" w:cs="Arial" w:eastAsia="Arial" w:hAnsi="Arial"/>
                <w:sz w:val="13"/>
                <w:szCs w:val="13"/>
                <w:color w:val="auto"/>
                <w:w w:val="95"/>
              </w:rPr>
              <w:t>2.958%</w:t>
            </w:r>
          </w:p>
        </w:tc>
        <w:tc>
          <w:tcPr>
            <w:tcW w:w="160" w:type="dxa"/>
            <w:vAlign w:val="bottom"/>
          </w:tcPr>
          <w:p>
            <w:pPr>
              <w:spacing w:after="0"/>
              <w:rPr>
                <w:sz w:val="11"/>
                <w:szCs w:val="11"/>
                <w:color w:val="auto"/>
              </w:rPr>
            </w:pPr>
          </w:p>
        </w:tc>
        <w:tc>
          <w:tcPr>
            <w:tcW w:w="9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N/A</w:t>
            </w:r>
          </w:p>
        </w:tc>
        <w:tc>
          <w:tcPr>
            <w:tcW w:w="9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4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1"/>
                <w:szCs w:val="11"/>
                <w:color w:val="auto"/>
              </w:rPr>
              <w:t>GasLog</w:t>
            </w:r>
            <w:r>
              <w:rPr>
                <w:rFonts w:ascii="Arial" w:cs="Arial" w:eastAsia="Arial" w:hAnsi="Arial"/>
                <w:sz w:val="17"/>
                <w:szCs w:val="17"/>
                <w:color w:val="auto"/>
                <w:vertAlign w:val="superscript"/>
              </w:rPr>
              <w:t>(4)</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Nordea</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December</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2020</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2.937%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80" w:type="dxa"/>
            <w:vAlign w:val="bottom"/>
            <w:gridSpan w:val="2"/>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(4)</w:t>
            </w:r>
          </w:p>
        </w:tc>
        <w:tc>
          <w:tcPr>
            <w:tcW w:w="1540" w:type="dxa"/>
            <w:vAlign w:val="bottom"/>
            <w:gridSpan w:val="2"/>
          </w:tcPr>
          <w:p>
            <w:pPr>
              <w:spacing w:after="0"/>
              <w:rPr>
                <w:sz w:val="20"/>
                <w:szCs w:val="20"/>
                <w:color w:val="auto"/>
              </w:rPr>
            </w:pPr>
            <w:r>
              <w:rPr>
                <w:rFonts w:ascii="Arial" w:cs="Arial" w:eastAsia="Arial" w:hAnsi="Arial"/>
                <w:sz w:val="13"/>
                <w:szCs w:val="13"/>
                <w:color w:val="auto"/>
              </w:rPr>
              <w:t>ING</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May 2020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July 2020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2024</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3.127%</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1"/>
                <w:szCs w:val="11"/>
                <w:color w:val="auto"/>
              </w:rPr>
              <w:t>GasLog</w:t>
            </w:r>
            <w:r>
              <w:rPr>
                <w:rFonts w:ascii="Arial" w:cs="Arial" w:eastAsia="Arial" w:hAnsi="Arial"/>
                <w:sz w:val="17"/>
                <w:szCs w:val="17"/>
                <w:color w:val="auto"/>
                <w:vertAlign w:val="superscript"/>
              </w:rPr>
              <w:t>(6)</w:t>
            </w: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December</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2020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2020/July</w:t>
            </w:r>
          </w:p>
        </w:tc>
        <w:tc>
          <w:tcPr>
            <w:tcW w:w="1040" w:type="dxa"/>
            <w:vAlign w:val="bottom"/>
            <w:gridSpan w:val="2"/>
            <w:shd w:val="clear" w:color="auto" w:fill="CCEEFF"/>
          </w:tcPr>
          <w:p>
            <w:pPr>
              <w:jc w:val="center"/>
              <w:ind w:left="113"/>
              <w:spacing w:after="0"/>
              <w:rPr>
                <w:sz w:val="20"/>
                <w:szCs w:val="20"/>
                <w:color w:val="auto"/>
              </w:rPr>
            </w:pPr>
            <w:r>
              <w:rPr>
                <w:rFonts w:ascii="Arial" w:cs="Arial" w:eastAsia="Arial" w:hAnsi="Arial"/>
                <w:sz w:val="13"/>
                <w:szCs w:val="13"/>
                <w:color w:val="auto"/>
                <w:w w:val="95"/>
              </w:rPr>
              <w:t>2.979%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89"/>
              </w:rPr>
              <w:t>2018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93"/>
              <w:spacing w:after="0"/>
              <w:rPr>
                <w:sz w:val="20"/>
                <w:szCs w:val="20"/>
                <w:color w:val="auto"/>
              </w:rPr>
            </w:pPr>
            <w:r>
              <w:rPr>
                <w:rFonts w:ascii="Arial" w:cs="Arial" w:eastAsia="Arial" w:hAnsi="Arial"/>
                <w:sz w:val="13"/>
                <w:szCs w:val="13"/>
                <w:color w:val="auto"/>
                <w:w w:val="96"/>
              </w:rPr>
              <w:t>2020</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80" w:type="dxa"/>
            <w:vAlign w:val="bottom"/>
            <w:gridSpan w:val="2"/>
          </w:tcPr>
          <w:p>
            <w:pPr>
              <w:ind w:left="20"/>
              <w:spacing w:after="0" w:line="133" w:lineRule="exact"/>
              <w:rPr>
                <w:sz w:val="20"/>
                <w:szCs w:val="20"/>
                <w:color w:val="auto"/>
              </w:rPr>
            </w:pPr>
            <w:r>
              <w:rPr>
                <w:rFonts w:ascii="Arial" w:cs="Arial" w:eastAsia="Arial" w:hAnsi="Arial"/>
                <w:sz w:val="13"/>
                <w:szCs w:val="13"/>
                <w:color w:val="auto"/>
              </w:rPr>
              <w:t>GAS-twenty</w:t>
            </w:r>
          </w:p>
        </w:tc>
        <w:tc>
          <w:tcPr>
            <w:tcW w:w="1540" w:type="dxa"/>
            <w:vAlign w:val="bottom"/>
            <w:gridSpan w:val="2"/>
          </w:tcPr>
          <w:p>
            <w:pPr>
              <w:spacing w:after="0" w:line="133" w:lineRule="exact"/>
              <w:rPr>
                <w:sz w:val="20"/>
                <w:szCs w:val="20"/>
                <w:color w:val="auto"/>
              </w:rPr>
            </w:pPr>
            <w:r>
              <w:rPr>
                <w:rFonts w:ascii="Arial" w:cs="Arial" w:eastAsia="Arial" w:hAnsi="Arial"/>
                <w:sz w:val="13"/>
                <w:szCs w:val="13"/>
                <w:color w:val="auto"/>
              </w:rPr>
              <w:t>DNB</w:t>
            </w:r>
          </w:p>
        </w:tc>
        <w:tc>
          <w:tcPr>
            <w:tcW w:w="16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3"/>
                <w:szCs w:val="13"/>
                <w:color w:val="auto"/>
                <w:w w:val="96"/>
              </w:rPr>
              <w:t>July 2020</w:t>
            </w:r>
          </w:p>
        </w:tc>
        <w:tc>
          <w:tcPr>
            <w:tcW w:w="1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3"/>
                <w:szCs w:val="13"/>
                <w:color w:val="auto"/>
              </w:rPr>
              <w:t>April 2020</w:t>
            </w:r>
          </w:p>
        </w:tc>
        <w:tc>
          <w:tcPr>
            <w:tcW w:w="1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3"/>
                <w:szCs w:val="13"/>
                <w:color w:val="auto"/>
                <w:w w:val="99"/>
              </w:rPr>
              <w:t>April 2025</w:t>
            </w:r>
          </w:p>
        </w:tc>
        <w:tc>
          <w:tcPr>
            <w:tcW w:w="1040" w:type="dxa"/>
            <w:vAlign w:val="bottom"/>
            <w:gridSpan w:val="2"/>
          </w:tcPr>
          <w:p>
            <w:pPr>
              <w:jc w:val="center"/>
              <w:ind w:left="113"/>
              <w:spacing w:after="0" w:line="133" w:lineRule="exact"/>
              <w:rPr>
                <w:sz w:val="20"/>
                <w:szCs w:val="20"/>
                <w:color w:val="auto"/>
              </w:rPr>
            </w:pPr>
            <w:r>
              <w:rPr>
                <w:rFonts w:ascii="Arial" w:cs="Arial" w:eastAsia="Arial" w:hAnsi="Arial"/>
                <w:sz w:val="13"/>
                <w:szCs w:val="13"/>
                <w:color w:val="auto"/>
                <w:w w:val="93"/>
              </w:rPr>
              <w:t>2.979%/3.069%</w:t>
            </w:r>
          </w:p>
        </w:tc>
        <w:tc>
          <w:tcPr>
            <w:tcW w:w="160" w:type="dxa"/>
            <w:vAlign w:val="bottom"/>
          </w:tcPr>
          <w:p>
            <w:pPr>
              <w:spacing w:after="0"/>
              <w:rPr>
                <w:sz w:val="11"/>
                <w:szCs w:val="11"/>
                <w:color w:val="auto"/>
              </w:rPr>
            </w:pP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N/A</w:t>
            </w:r>
          </w:p>
        </w:tc>
        <w:tc>
          <w:tcPr>
            <w:tcW w:w="980" w:type="dxa"/>
            <w:vAlign w:val="bottom"/>
            <w:gridSpan w:val="2"/>
          </w:tcPr>
          <w:p>
            <w:pPr>
              <w:jc w:val="right"/>
              <w:ind w:right="160"/>
              <w:spacing w:after="0" w:line="133" w:lineRule="exact"/>
              <w:rPr>
                <w:sz w:val="20"/>
                <w:szCs w:val="20"/>
                <w:color w:val="auto"/>
              </w:rPr>
            </w:pPr>
            <w:r>
              <w:rPr>
                <w:rFonts w:ascii="Arial" w:cs="Arial" w:eastAsia="Arial" w:hAnsi="Arial"/>
                <w:sz w:val="13"/>
                <w:szCs w:val="13"/>
                <w:color w:val="auto"/>
              </w:rPr>
              <w:t>40,000</w:t>
            </w:r>
          </w:p>
        </w:tc>
        <w:tc>
          <w:tcPr>
            <w:tcW w:w="0" w:type="dxa"/>
            <w:vAlign w:val="bottom"/>
          </w:tcPr>
          <w:p>
            <w:pPr>
              <w:spacing w:after="0"/>
              <w:rPr>
                <w:sz w:val="1"/>
                <w:szCs w:val="1"/>
                <w:color w:val="auto"/>
              </w:rPr>
            </w:pPr>
          </w:p>
        </w:tc>
      </w:tr>
      <w:tr>
        <w:trPr>
          <w:trHeight w:val="191"/>
        </w:trPr>
        <w:tc>
          <w:tcPr>
            <w:tcW w:w="1380" w:type="dxa"/>
            <w:vAlign w:val="bottom"/>
            <w:gridSpan w:val="2"/>
          </w:tcPr>
          <w:p>
            <w:pPr>
              <w:ind w:left="140"/>
              <w:spacing w:after="0" w:line="191" w:lineRule="exact"/>
              <w:rPr>
                <w:sz w:val="20"/>
                <w:szCs w:val="20"/>
                <w:color w:val="auto"/>
              </w:rPr>
            </w:pPr>
            <w:r>
              <w:rPr>
                <w:rFonts w:ascii="Arial" w:cs="Arial" w:eastAsia="Arial" w:hAnsi="Arial"/>
                <w:sz w:val="13"/>
                <w:szCs w:val="13"/>
                <w:color w:val="auto"/>
              </w:rPr>
              <w:t>seven Ltd.</w:t>
            </w:r>
            <w:r>
              <w:rPr>
                <w:rFonts w:ascii="Arial" w:cs="Arial" w:eastAsia="Arial" w:hAnsi="Arial"/>
                <w:sz w:val="22"/>
                <w:szCs w:val="22"/>
                <w:color w:val="auto"/>
                <w:vertAlign w:val="superscript"/>
              </w:rPr>
              <w:t>(6)</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GAS-twenty</w:t>
            </w:r>
          </w:p>
        </w:tc>
        <w:tc>
          <w:tcPr>
            <w:tcW w:w="15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ING</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6"/>
              </w:rPr>
              <w:t>July 2020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July 2020</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April 2025</w:t>
            </w:r>
          </w:p>
        </w:tc>
        <w:tc>
          <w:tcPr>
            <w:tcW w:w="1040" w:type="dxa"/>
            <w:vAlign w:val="bottom"/>
            <w:gridSpan w:val="2"/>
            <w:shd w:val="clear" w:color="auto" w:fill="CCEEFF"/>
          </w:tcPr>
          <w:p>
            <w:pPr>
              <w:jc w:val="center"/>
              <w:ind w:left="113"/>
              <w:spacing w:after="0" w:line="133" w:lineRule="exact"/>
              <w:rPr>
                <w:sz w:val="20"/>
                <w:szCs w:val="20"/>
                <w:color w:val="auto"/>
              </w:rPr>
            </w:pPr>
            <w:r>
              <w:rPr>
                <w:rFonts w:ascii="Arial" w:cs="Arial" w:eastAsia="Arial" w:hAnsi="Arial"/>
                <w:sz w:val="13"/>
                <w:szCs w:val="13"/>
                <w:color w:val="auto"/>
                <w:w w:val="95"/>
              </w:rPr>
              <w:t>3.176%</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N/A</w:t>
            </w:r>
          </w:p>
        </w:tc>
        <w:tc>
          <w:tcPr>
            <w:tcW w:w="98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91"/>
        </w:trPr>
        <w:tc>
          <w:tcPr>
            <w:tcW w:w="1380" w:type="dxa"/>
            <w:vAlign w:val="bottom"/>
            <w:gridSpan w:val="2"/>
            <w:shd w:val="clear" w:color="auto" w:fill="CCEEFF"/>
          </w:tcPr>
          <w:p>
            <w:pPr>
              <w:ind w:left="140"/>
              <w:spacing w:after="0" w:line="191" w:lineRule="exact"/>
              <w:rPr>
                <w:sz w:val="20"/>
                <w:szCs w:val="20"/>
                <w:color w:val="auto"/>
              </w:rPr>
            </w:pPr>
            <w:r>
              <w:rPr>
                <w:rFonts w:ascii="Arial" w:cs="Arial" w:eastAsia="Arial" w:hAnsi="Arial"/>
                <w:sz w:val="13"/>
                <w:szCs w:val="13"/>
                <w:color w:val="auto"/>
              </w:rPr>
              <w:t>seven Ltd.</w:t>
            </w:r>
            <w:r>
              <w:rPr>
                <w:rFonts w:ascii="Arial" w:cs="Arial" w:eastAsia="Arial" w:hAnsi="Arial"/>
                <w:sz w:val="22"/>
                <w:szCs w:val="22"/>
                <w:color w:val="auto"/>
                <w:vertAlign w:val="superscript"/>
              </w:rPr>
              <w:t>(6)</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GAS-fifteen Ltd.</w:t>
            </w:r>
            <w:r>
              <w:rPr>
                <w:rFonts w:ascii="Arial" w:cs="Arial" w:eastAsia="Arial" w:hAnsi="Arial"/>
                <w:sz w:val="17"/>
                <w:szCs w:val="17"/>
                <w:color w:val="auto"/>
                <w:vertAlign w:val="superscript"/>
              </w:rPr>
              <w:t>(7)</w:t>
            </w:r>
          </w:p>
        </w:tc>
        <w:tc>
          <w:tcPr>
            <w:tcW w:w="1540" w:type="dxa"/>
            <w:vAlign w:val="bottom"/>
            <w:gridSpan w:val="2"/>
          </w:tcPr>
          <w:p>
            <w:pPr>
              <w:spacing w:after="0"/>
              <w:rPr>
                <w:sz w:val="20"/>
                <w:szCs w:val="20"/>
                <w:color w:val="auto"/>
              </w:rPr>
            </w:pPr>
            <w:r>
              <w:rPr>
                <w:rFonts w:ascii="Arial" w:cs="Arial" w:eastAsia="Arial" w:hAnsi="Arial"/>
                <w:sz w:val="13"/>
                <w:szCs w:val="13"/>
                <w:color w:val="auto"/>
              </w:rPr>
              <w:t>NBG</w:t>
            </w: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1"/>
              </w:rPr>
              <w:t>September</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October 2020</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3"/>
              </w:rPr>
              <w:t>July 2025</w:t>
            </w:r>
          </w:p>
        </w:tc>
        <w:tc>
          <w:tcPr>
            <w:tcW w:w="10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1.795%</w:t>
            </w:r>
          </w:p>
        </w:tc>
        <w:tc>
          <w:tcPr>
            <w:tcW w:w="1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94,923</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gridSpan w:val="2"/>
          </w:tcPr>
          <w:p>
            <w:pPr>
              <w:jc w:val="center"/>
              <w:ind w:left="93"/>
              <w:spacing w:after="0"/>
              <w:rPr>
                <w:sz w:val="20"/>
                <w:szCs w:val="20"/>
                <w:color w:val="auto"/>
              </w:rPr>
            </w:pPr>
            <w:r>
              <w:rPr>
                <w:rFonts w:ascii="Arial" w:cs="Arial" w:eastAsia="Arial" w:hAnsi="Arial"/>
                <w:sz w:val="13"/>
                <w:szCs w:val="13"/>
                <w:color w:val="auto"/>
                <w:w w:val="89"/>
              </w:rPr>
              <w:t>2020</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1,170,000</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1,578,256</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40" w:hanging="549"/>
        <w:spacing w:after="0" w:line="274" w:lineRule="auto"/>
        <w:tabs>
          <w:tab w:leader="none" w:pos="168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In July 2020, the Group novated to SCB two interest rate swaps with Nordea originally maturing in March and July 2022 with notional amounts of $100,000 and $66,667, respectively. Upon transfer, SCB amended the fixed interest rate for their additional credit charges of 20bps.</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The fixed interest rate was agreed at 2.005% until May 2020 and was increased at 2.17% from May 2020 to February 2022.</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In May 2018, the Group entered into a new interest rate swap agreement with a notional amount of $30,000 maturing in July 2025.</w:t>
      </w:r>
    </w:p>
    <w:p>
      <w:pPr>
        <w:spacing w:after="0" w:line="134" w:lineRule="exact"/>
        <w:rPr>
          <w:rFonts w:ascii="Arial" w:cs="Arial" w:eastAsia="Arial" w:hAnsi="Arial"/>
          <w:sz w:val="11"/>
          <w:szCs w:val="11"/>
          <w:color w:val="auto"/>
        </w:rPr>
      </w:pPr>
    </w:p>
    <w:p>
      <w:pPr>
        <w:ind w:left="1680" w:right="20" w:hanging="549"/>
        <w:spacing w:after="0" w:line="317" w:lineRule="auto"/>
        <w:tabs>
          <w:tab w:leader="none" w:pos="1680" w:val="left"/>
        </w:tabs>
        <w:numPr>
          <w:ilvl w:val="0"/>
          <w:numId w:val="149"/>
        </w:numPr>
        <w:rPr>
          <w:rFonts w:ascii="Arial" w:cs="Arial" w:eastAsia="Arial" w:hAnsi="Arial"/>
          <w:sz w:val="10"/>
          <w:szCs w:val="10"/>
          <w:color w:val="auto"/>
        </w:rPr>
      </w:pPr>
      <w:r>
        <w:rPr>
          <w:rFonts w:ascii="Arial" w:cs="Arial" w:eastAsia="Arial" w:hAnsi="Arial"/>
          <w:sz w:val="12"/>
          <w:szCs w:val="12"/>
          <w:color w:val="auto"/>
        </w:rPr>
        <w:t>In May 2020, the Group terminated an interest rate swap with Nordea originally maturing in July 2024 and replaced it with a new swap with ING of the same notional amount of $100,000 and the same maturity date of July 2024 with an effective date of July 2020. The impact of these parallel transactions for the Group was a loss of $41.</w:t>
      </w:r>
    </w:p>
    <w:p>
      <w:pPr>
        <w:spacing w:after="0" w:line="67" w:lineRule="exact"/>
        <w:rPr>
          <w:rFonts w:ascii="Arial" w:cs="Arial" w:eastAsia="Arial" w:hAnsi="Arial"/>
          <w:sz w:val="10"/>
          <w:szCs w:val="10"/>
          <w:color w:val="auto"/>
        </w:rPr>
      </w:pPr>
    </w:p>
    <w:p>
      <w:pPr>
        <w:ind w:left="1680" w:hanging="549"/>
        <w:spacing w:after="0" w:line="256" w:lineRule="auto"/>
        <w:tabs>
          <w:tab w:leader="none" w:pos="168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In July 2020, the Group terminated an interest rate swap with DNB originally maturing in July 2024 and replaced it with two new interest rate swap agreements entered by GAS-twenty seven Ltd. with DNB and ING of the same total notional amount of $73,333 and the same maturity date of July 2024 with an effective date of July 2020 and with no cash impact on the Group.</w:t>
      </w:r>
    </w:p>
    <w:p>
      <w:pPr>
        <w:sectPr>
          <w:pgSz w:w="11900" w:h="16838" w:orient="portrait"/>
          <w:cols w:equalWidth="0" w:num="1">
            <w:col w:w="11120"/>
          </w:cols>
          <w:pgMar w:left="320" w:top="131" w:right="459" w:bottom="1440" w:gutter="0" w:footer="0" w:header="0"/>
        </w:sectPr>
      </w:pP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type w:val="continuous"/>
        </w:sectPr>
      </w:pPr>
    </w:p>
    <w:bookmarkStart w:id="242" w:name="page243"/>
    <w:bookmarkEnd w:id="2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15" w:lineRule="exact"/>
        <w:rPr>
          <w:rFonts w:ascii="Arial" w:cs="Arial" w:eastAsia="Arial" w:hAnsi="Arial"/>
          <w:sz w:val="18"/>
          <w:szCs w:val="18"/>
          <w:b w:val="1"/>
          <w:bCs w:val="1"/>
          <w:color w:val="auto"/>
        </w:rPr>
      </w:pPr>
    </w:p>
    <w:p>
      <w:pPr>
        <w:ind w:left="1680" w:right="20" w:hanging="549"/>
        <w:spacing w:after="0" w:line="256" w:lineRule="auto"/>
        <w:tabs>
          <w:tab w:leader="none" w:pos="1680" w:val="left"/>
        </w:tabs>
        <w:numPr>
          <w:ilvl w:val="1"/>
          <w:numId w:val="150"/>
        </w:numPr>
        <w:rPr>
          <w:rFonts w:ascii="Arial" w:cs="Arial" w:eastAsia="Arial" w:hAnsi="Arial"/>
          <w:sz w:val="11"/>
          <w:szCs w:val="11"/>
          <w:color w:val="auto"/>
        </w:rPr>
      </w:pPr>
      <w:r>
        <w:rPr>
          <w:rFonts w:ascii="Arial" w:cs="Arial" w:eastAsia="Arial" w:hAnsi="Arial"/>
          <w:sz w:val="13"/>
          <w:szCs w:val="13"/>
          <w:color w:val="auto"/>
        </w:rPr>
        <w:t>In July 2020, the Group terminated an interest rate swap with DNB originally maturing in April 2025 and replaced it with two new interest rate swap agreements entered by GAS-twenty seven Ltd. with DNB and ING of the same total notional amount of $60,000 and the same maturity date of April 2025 with an effective date of April and July 2020 and with no cash impact on the Group.</w:t>
      </w:r>
    </w:p>
    <w:p>
      <w:pPr>
        <w:spacing w:after="0" w:line="102" w:lineRule="exact"/>
        <w:rPr>
          <w:rFonts w:ascii="Arial" w:cs="Arial" w:eastAsia="Arial" w:hAnsi="Arial"/>
          <w:sz w:val="11"/>
          <w:szCs w:val="11"/>
          <w:color w:val="auto"/>
        </w:rPr>
      </w:pPr>
    </w:p>
    <w:p>
      <w:pPr>
        <w:ind w:left="1680" w:hanging="549"/>
        <w:spacing w:after="0" w:line="256" w:lineRule="auto"/>
        <w:tabs>
          <w:tab w:leader="none" w:pos="1680" w:val="left"/>
        </w:tabs>
        <w:numPr>
          <w:ilvl w:val="1"/>
          <w:numId w:val="150"/>
        </w:numPr>
        <w:rPr>
          <w:rFonts w:ascii="Arial" w:cs="Arial" w:eastAsia="Arial" w:hAnsi="Arial"/>
          <w:sz w:val="11"/>
          <w:szCs w:val="11"/>
          <w:color w:val="auto"/>
        </w:rPr>
      </w:pPr>
      <w:r>
        <w:rPr>
          <w:rFonts w:ascii="Arial" w:cs="Arial" w:eastAsia="Arial" w:hAnsi="Arial"/>
          <w:sz w:val="13"/>
          <w:szCs w:val="13"/>
          <w:color w:val="auto"/>
        </w:rPr>
        <w:t>In September 2020, the Group terminated an interest rate swap with SEB originally maturing in July 2025 and replaced it with a new interest rate swap agreement entered by GAS-fifteen Ltd. with NBG of initial notional amount of $96,815 and the same maturity date of July 2025 with an effective date of October 2020 and with no cash impact on the Group.</w:t>
      </w:r>
    </w:p>
    <w:p>
      <w:pPr>
        <w:spacing w:after="0" w:line="186"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derivative instruments listed above were not designated as cash flow hedging instruments. The change in the fair value of these contracts for the year ended December 31, 2020 amounted to a net loss of $63,982 (December 31, 2019: $55,865 net loss, December 31, 2018: $4,333 net loss), which was recognized against profit or loss in the period incurred and is included in Loss on derivatives. During the year ended December 31, 2020, the net loss of $63,982 derived from changes in the LIBOR curve as well as modifications of the Group's interest swap portfolio that includes interest rate swap agreements with maturities out to 2028.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CCSs are designated as cash flow hedging instruments for accounting purposes.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Trade</w:t>
            </w:r>
          </w:p>
        </w:tc>
        <w:tc>
          <w:tcPr>
            <w:tcW w:w="18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Effective</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Termination</w:t>
            </w: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Interest</w:t>
            </w:r>
          </w:p>
        </w:tc>
        <w:tc>
          <w:tcPr>
            <w:tcW w:w="2240" w:type="dxa"/>
            <w:vAlign w:val="bottom"/>
            <w:gridSpan w:val="5"/>
          </w:tcPr>
          <w:p>
            <w:pPr>
              <w:ind w:left="54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12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3"/>
                <w:szCs w:val="13"/>
                <w:b w:val="1"/>
                <w:bCs w:val="1"/>
                <w:color w:val="auto"/>
              </w:rPr>
              <w:t>December 31,</w:t>
            </w:r>
          </w:p>
        </w:tc>
        <w:tc>
          <w:tcPr>
            <w:tcW w:w="96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1440" w:type="dxa"/>
            <w:vAlign w:val="bottom"/>
            <w:gridSpan w:val="2"/>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80" w:type="dxa"/>
            <w:vAlign w:val="bottom"/>
          </w:tcPr>
          <w:p>
            <w:pPr>
              <w:spacing w:after="0"/>
              <w:rPr>
                <w:sz w:val="14"/>
                <w:szCs w:val="14"/>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GasLog</w:t>
            </w:r>
            <w:r>
              <w:rPr>
                <w:rFonts w:ascii="Arial" w:cs="Arial" w:eastAsia="Arial" w:hAnsi="Arial"/>
                <w:sz w:val="28"/>
                <w:szCs w:val="28"/>
                <w:color w:val="auto"/>
                <w:vertAlign w:val="superscript"/>
              </w:rPr>
              <w:t>(1)</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2019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 2019</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 2024</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32,850</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57"/>
        </w:trPr>
        <w:tc>
          <w:tcPr>
            <w:tcW w:w="20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860" w:type="dxa"/>
            <w:vAlign w:val="bottom"/>
          </w:tcPr>
          <w:p>
            <w:pPr>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Nov 2019</w:t>
            </w:r>
          </w:p>
        </w:tc>
        <w:tc>
          <w:tcPr>
            <w:tcW w:w="18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Nov 2019</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Nov 2024</w:t>
            </w:r>
          </w:p>
        </w:tc>
        <w:tc>
          <w:tcPr>
            <w:tcW w:w="780" w:type="dxa"/>
            <w:vAlign w:val="bottom"/>
            <w:gridSpan w:val="2"/>
          </w:tcPr>
          <w:p>
            <w:pPr>
              <w:spacing w:after="0"/>
              <w:rPr>
                <w:sz w:val="20"/>
                <w:szCs w:val="20"/>
                <w:color w:val="auto"/>
              </w:rPr>
            </w:pPr>
            <w:r>
              <w:rPr>
                <w:rFonts w:ascii="Arial" w:cs="Arial" w:eastAsia="Arial" w:hAnsi="Arial"/>
                <w:sz w:val="18"/>
                <w:szCs w:val="18"/>
                <w:color w:val="auto"/>
              </w:rPr>
              <w:t>floating</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32,850</w:t>
            </w:r>
          </w:p>
        </w:tc>
        <w:tc>
          <w:tcPr>
            <w:tcW w:w="1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56"/>
        </w:trPr>
        <w:tc>
          <w:tcPr>
            <w:tcW w:w="20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GasLog</w:t>
            </w:r>
            <w:r>
              <w:rPr>
                <w:rFonts w:ascii="Arial" w:cs="Arial" w:eastAsia="Arial" w:hAnsi="Arial"/>
                <w:sz w:val="29"/>
                <w:szCs w:val="29"/>
                <w:color w:val="auto"/>
                <w:vertAlign w:val="superscript"/>
              </w:rPr>
              <w:t>(1)</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2019</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 2019</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 2024</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32,850</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98,550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49"/>
        <w:spacing w:after="0" w:line="274" w:lineRule="auto"/>
        <w:tabs>
          <w:tab w:leader="none" w:pos="1680" w:val="left"/>
        </w:tabs>
        <w:numPr>
          <w:ilvl w:val="0"/>
          <w:numId w:val="151"/>
        </w:numPr>
        <w:rPr>
          <w:rFonts w:ascii="Arial" w:cs="Arial" w:eastAsia="Arial" w:hAnsi="Arial"/>
          <w:sz w:val="11"/>
          <w:szCs w:val="11"/>
          <w:color w:val="auto"/>
        </w:rPr>
      </w:pPr>
      <w:r>
        <w:rPr>
          <w:rFonts w:ascii="Arial" w:cs="Arial" w:eastAsia="Arial" w:hAnsi="Arial"/>
          <w:sz w:val="13"/>
          <w:szCs w:val="13"/>
          <w:color w:val="auto"/>
        </w:rPr>
        <w:t>On November 27, 2019, in conjunction with the issuance of the NOK 2024 Bonds, the Group entered into these CCSs to exchange interest payments and principal on maturity on the same terms as the NOK 2024 Bonds.</w:t>
      </w:r>
    </w:p>
    <w:p>
      <w:pPr>
        <w:spacing w:after="0" w:line="17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the year ended December 31, 2020, the effective portion of changes in the fair value of CCSs amounting to a gain of $1,873 has been recognized in Other comprehensive loss (December 31, 2019: $3,215 loss, December 31, 2018: $5,543 loss). For the year ended December 31, 2020, a loss of $625 was recycled to profit or loss representing the realized loss on CCSs in relation to the interest expenses component of the hedge (December 31, 2019: $607 loss, December 31, 2018: $454 loss). Additionally, for the year ended December 31, 2020, a loss of $3,248 was recognized in Other comprehensive loss in relation to the retranslation of the NOK Bonds in U.S. dollars as of December 31, 2020 (December 31, 2019: $325 loss, December 31, 2018: $4,831 gain).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right="7540" w:firstLine="8"/>
        <w:spacing w:after="0" w:line="567" w:lineRule="auto"/>
        <w:tabs>
          <w:tab w:leader="none" w:pos="263"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 (Continued) Forward foreign exchange contracts</w:t>
      </w:r>
    </w:p>
    <w:p>
      <w:pPr>
        <w:spacing w:after="0" w:line="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EUR and JPY. Under these forward foreign exchange contracts, the bank counterparty will effect fixed payments in EUR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Fixed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Exchange</w:t>
            </w:r>
          </w:p>
        </w:tc>
      </w:tr>
      <w:tr>
        <w:trPr>
          <w:trHeight w:val="148"/>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3"/>
              </w:rPr>
              <w:t>Settlement</w:t>
            </w:r>
          </w:p>
        </w:tc>
        <w:tc>
          <w:tcPr>
            <w:tcW w:w="16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Exchange Rate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Amount</w:t>
            </w: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3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Trade Date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contracts</w:t>
            </w:r>
          </w:p>
        </w:tc>
        <w:tc>
          <w:tcPr>
            <w:tcW w:w="18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Dates</w:t>
            </w:r>
          </w:p>
        </w:tc>
        <w:tc>
          <w:tcPr>
            <w:tcW w:w="160" w:type="dxa"/>
            <w:vAlign w:val="bottom"/>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(EUR/USD)</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4"/>
                <w:szCs w:val="14"/>
                <w:color w:val="auto"/>
              </w:rPr>
            </w:pPr>
          </w:p>
        </w:tc>
      </w:tr>
      <w:tr>
        <w:trPr>
          <w:trHeight w:val="142"/>
        </w:trPr>
        <w:tc>
          <w:tcPr>
            <w:tcW w:w="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GasLog</w:t>
            </w:r>
          </w:p>
        </w:tc>
        <w:tc>
          <w:tcPr>
            <w:tcW w:w="144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rPr>
              <w:t>ABN</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November 2020</w:t>
            </w:r>
          </w:p>
        </w:tc>
        <w:tc>
          <w:tcPr>
            <w:tcW w:w="100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3</w:t>
            </w: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January - March 2021</w:t>
            </w: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1.1978582</w:t>
            </w:r>
          </w:p>
        </w:tc>
        <w:tc>
          <w:tcPr>
            <w:tcW w:w="8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- 1.1995155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6,000</w:t>
            </w:r>
          </w:p>
        </w:tc>
      </w:tr>
      <w:tr>
        <w:trPr>
          <w:trHeight w:val="148"/>
        </w:trPr>
        <w:tc>
          <w:tcPr>
            <w:tcW w:w="880" w:type="dxa"/>
            <w:vAlign w:val="bottom"/>
            <w:gridSpan w:val="2"/>
          </w:tcPr>
          <w:p>
            <w:pPr>
              <w:ind w:left="20"/>
              <w:spacing w:after="0"/>
              <w:rPr>
                <w:sz w:val="20"/>
                <w:szCs w:val="20"/>
                <w:color w:val="auto"/>
              </w:rPr>
            </w:pPr>
            <w:r>
              <w:rPr>
                <w:rFonts w:ascii="Arial" w:cs="Arial" w:eastAsia="Arial" w:hAnsi="Arial"/>
                <w:sz w:val="13"/>
                <w:szCs w:val="13"/>
                <w:color w:val="auto"/>
              </w:rPr>
              <w:t>GasLog</w:t>
            </w:r>
          </w:p>
        </w:tc>
        <w:tc>
          <w:tcPr>
            <w:tcW w:w="1440" w:type="dxa"/>
            <w:vAlign w:val="bottom"/>
          </w:tcPr>
          <w:p>
            <w:pPr>
              <w:jc w:val="center"/>
              <w:spacing w:after="0"/>
              <w:rPr>
                <w:sz w:val="20"/>
                <w:szCs w:val="20"/>
                <w:color w:val="auto"/>
              </w:rPr>
            </w:pPr>
            <w:r>
              <w:rPr>
                <w:rFonts w:ascii="Arial" w:cs="Arial" w:eastAsia="Arial" w:hAnsi="Arial"/>
                <w:sz w:val="13"/>
                <w:szCs w:val="13"/>
                <w:color w:val="auto"/>
                <w:w w:val="97"/>
              </w:rPr>
              <w:t>Citibank Europe PLC UK</w:t>
            </w:r>
          </w:p>
        </w:tc>
        <w:tc>
          <w:tcPr>
            <w:tcW w:w="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November 2020</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3</w:t>
            </w: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January - March 2021</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1.1975</w:t>
            </w:r>
          </w:p>
        </w:tc>
        <w:tc>
          <w:tcPr>
            <w:tcW w:w="840" w:type="dxa"/>
            <w:vAlign w:val="bottom"/>
          </w:tcPr>
          <w:p>
            <w:pPr>
              <w:spacing w:after="0"/>
              <w:rPr>
                <w:sz w:val="20"/>
                <w:szCs w:val="20"/>
                <w:color w:val="auto"/>
              </w:rPr>
            </w:pPr>
            <w:r>
              <w:rPr>
                <w:rFonts w:ascii="Arial" w:cs="Arial" w:eastAsia="Arial" w:hAnsi="Arial"/>
                <w:sz w:val="13"/>
                <w:szCs w:val="13"/>
                <w:color w:val="auto"/>
              </w:rPr>
              <w:t>- 1.1991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7,500</w:t>
            </w:r>
          </w:p>
        </w:tc>
        <w:tc>
          <w:tcPr>
            <w:tcW w:w="160" w:type="dxa"/>
            <w:vAlign w:val="bottom"/>
          </w:tcPr>
          <w:p>
            <w:pPr>
              <w:spacing w:after="0"/>
              <w:rPr>
                <w:sz w:val="12"/>
                <w:szCs w:val="12"/>
                <w:color w:val="auto"/>
              </w:rPr>
            </w:pPr>
          </w:p>
        </w:tc>
      </w:tr>
      <w:tr>
        <w:trPr>
          <w:trHeight w:val="209"/>
        </w:trPr>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13,500</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Fixed</w:t>
            </w:r>
          </w:p>
        </w:tc>
        <w:tc>
          <w:tcPr>
            <w:tcW w:w="1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Total Exchange</w:t>
            </w:r>
          </w:p>
        </w:tc>
      </w:tr>
      <w:tr>
        <w:trPr>
          <w:trHeight w:val="148"/>
        </w:trPr>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Number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Settlement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Exchange Rate</w:t>
            </w:r>
          </w:p>
        </w:tc>
        <w:tc>
          <w:tcPr>
            <w:tcW w:w="22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Amount</w:t>
            </w: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6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Trade Date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contracts</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(JPY/USD)</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93"/>
              </w:rPr>
              <w:t>(in thousands)</w:t>
            </w:r>
          </w:p>
        </w:tc>
        <w:tc>
          <w:tcPr>
            <w:tcW w:w="160" w:type="dxa"/>
            <w:vAlign w:val="bottom"/>
          </w:tcPr>
          <w:p>
            <w:pPr>
              <w:spacing w:after="0"/>
              <w:rPr>
                <w:sz w:val="14"/>
                <w:szCs w:val="14"/>
                <w:color w:val="auto"/>
              </w:rPr>
            </w:pPr>
          </w:p>
        </w:tc>
      </w:tr>
      <w:tr>
        <w:trPr>
          <w:trHeight w:val="142"/>
        </w:trPr>
        <w:tc>
          <w:tcPr>
            <w:tcW w:w="1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GasLog</w:t>
            </w:r>
          </w:p>
        </w:tc>
        <w:tc>
          <w:tcPr>
            <w:tcW w:w="14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7"/>
              </w:rPr>
              <w:t>Citibank Europe PLC UK</w:t>
            </w: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November 2020</w:t>
            </w:r>
          </w:p>
        </w:tc>
        <w:tc>
          <w:tcPr>
            <w:tcW w:w="9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w:t>
            </w:r>
          </w:p>
        </w:tc>
        <w:tc>
          <w:tcPr>
            <w:tcW w:w="11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January 2021</w:t>
            </w:r>
          </w:p>
        </w:tc>
        <w:tc>
          <w:tcPr>
            <w:tcW w:w="120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0.0096019938</w:t>
            </w: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9"/>
              </w:rPr>
              <w:t>JP¥</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29,397</w:t>
            </w:r>
          </w:p>
        </w:tc>
        <w:tc>
          <w:tcPr>
            <w:tcW w:w="160" w:type="dxa"/>
            <w:vAlign w:val="bottom"/>
            <w:shd w:val="clear" w:color="auto" w:fill="CCEEFF"/>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JP¥</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29,397</w:t>
            </w:r>
          </w:p>
        </w:tc>
        <w:tc>
          <w:tcPr>
            <w:tcW w:w="1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December 31, 2020. The change in the fair value of these contracts for the year ended December 31, 2020 amounted to a net loss of $21 (for the year ended December 31, 2019: $1,815 net gain, December 31, 2018: $3,589 net loss), which was recognized against profit or loss in the year incurred and is included in Loss on derivatives.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Loss on derivatives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For the year 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 on derivative financial instruments held for trading</w:t>
            </w: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(7,922)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(64,044)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Realized gain/(loss) on interest rate swaps held for trading</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1,893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(20,855)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gain/(loss) on forward foreign exchange contracts held for trading</w:t>
            </w:r>
          </w:p>
        </w:tc>
        <w:tc>
          <w:tcPr>
            <w:tcW w:w="7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76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Ineffective portion of cash flow hedges</w:t>
            </w:r>
          </w:p>
        </w:tc>
        <w:tc>
          <w:tcPr>
            <w:tcW w:w="7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(55,441)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(84,658)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20" w:type="dxa"/>
            <w:vAlign w:val="bottom"/>
            <w:vMerge w:val="restart"/>
          </w:tcPr>
          <w:p>
            <w:pPr>
              <w:ind w:left="4340"/>
              <w:spacing w:after="0"/>
              <w:rPr>
                <w:sz w:val="20"/>
                <w:szCs w:val="20"/>
                <w:color w:val="auto"/>
              </w:rPr>
            </w:pPr>
            <w:r>
              <w:rPr>
                <w:rFonts w:ascii="Arial" w:cs="Arial" w:eastAsia="Arial" w:hAnsi="Arial"/>
                <w:sz w:val="18"/>
                <w:szCs w:val="18"/>
                <w:color w:val="auto"/>
              </w:rPr>
              <w:t>F-76</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2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right="7520" w:firstLine="8"/>
        <w:spacing w:after="0" w:line="504" w:lineRule="auto"/>
        <w:tabs>
          <w:tab w:leader="none" w:pos="263"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 Fair value measurements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and CCSs. The interest rate swaps, the forward foreign exchange contracts and the CCSs meet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There were no financial instruments in Levels 1 or 3 and no transfers between Levels 1, 2 or 3 during the periods presented. The definitions of the levels provided by IFRS 13 are based on the degree to which the fair value is observable:</w:t>
      </w:r>
    </w:p>
    <w:p>
      <w:pPr>
        <w:spacing w:after="0" w:line="191"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the Group's financing activities for the three years ended December 31, 2020 are presented in the tables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Deferred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Opening</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Cash</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financing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balance</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flows</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income</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items</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costs, assets</w:t>
            </w:r>
          </w:p>
        </w:tc>
        <w:tc>
          <w:tcPr>
            <w:tcW w:w="2160" w:type="dxa"/>
            <w:vAlign w:val="bottom"/>
            <w:gridSpan w:val="3"/>
          </w:tcPr>
          <w:p>
            <w:pPr>
              <w:ind w:left="280"/>
              <w:spacing w:after="0"/>
              <w:rPr>
                <w:sz w:val="20"/>
                <w:szCs w:val="20"/>
                <w:color w:val="auto"/>
              </w:rPr>
            </w:pPr>
            <w:r>
              <w:rPr>
                <w:rFonts w:ascii="Arial" w:cs="Arial" w:eastAsia="Arial" w:hAnsi="Arial"/>
                <w:sz w:val="13"/>
                <w:szCs w:val="13"/>
                <w:b w:val="1"/>
                <w:bCs w:val="1"/>
                <w:color w:val="auto"/>
              </w:rPr>
              <w:t>Total</w:t>
            </w:r>
          </w:p>
        </w:tc>
      </w:tr>
      <w:tr>
        <w:trPr>
          <w:trHeight w:val="201"/>
        </w:trPr>
        <w:tc>
          <w:tcPr>
            <w:tcW w:w="1120" w:type="dxa"/>
            <w:vAlign w:val="bottom"/>
          </w:tcPr>
          <w:p>
            <w:pPr>
              <w:spacing w:after="0"/>
              <w:rPr>
                <w:sz w:val="17"/>
                <w:szCs w:val="17"/>
                <w:color w:val="auto"/>
              </w:rPr>
            </w:pPr>
          </w:p>
        </w:tc>
        <w:tc>
          <w:tcPr>
            <w:tcW w:w="2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outstanding as of</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1, 2018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2,547,556</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2,547,556</w:t>
            </w:r>
          </w:p>
        </w:tc>
        <w:tc>
          <w:tcPr>
            <w:tcW w:w="116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7"/>
              </w:rPr>
              <w:t>Proceeds from bank loans and bonds</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524,165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524,165</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loans and bond repayments</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Additions in deferred loan/bond fees</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(7,449)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(12,941)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(19,271)</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deferred loan and</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bond issuance costs and premium</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19)</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12,593</w:t>
            </w:r>
          </w:p>
        </w:tc>
        <w:tc>
          <w:tcPr>
            <w:tcW w:w="116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6"/>
              </w:rPr>
              <w:t>Retranslation of the NOK 2021 Bonds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in USD</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1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29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2,547,556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284,963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13,712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2,828,459</w:t>
            </w:r>
          </w:p>
        </w:tc>
        <w:tc>
          <w:tcPr>
            <w:tcW w:w="116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764"/>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Deferred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8"/>
        </w:trPr>
        <w:tc>
          <w:tcPr>
            <w:tcW w:w="1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Opening</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financing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Cash flows</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costs, assets</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2"/>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9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outstanding as of</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1, 2019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2,828,459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2,828,459</w:t>
            </w:r>
          </w:p>
        </w:tc>
        <w:tc>
          <w:tcPr>
            <w:tcW w:w="116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w w:val="97"/>
              </w:rPr>
              <w:t>Proceeds from bank loans and bonds</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905,730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905,730</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loans and bond repayments</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(547,751)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(547,751)</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Payment for bond repurchase</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(34,602)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(34,602)</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 in deferred loan/bond fees</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(19,806)</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Amortization of deferred loan and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w w:val="99"/>
              </w:rPr>
              <w:t>bond issuance costs and premium</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(Note 19)</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14,154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14,154</w:t>
            </w:r>
          </w:p>
        </w:tc>
        <w:tc>
          <w:tcPr>
            <w:tcW w:w="116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Retranslation of the NOK 2021 Bonds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the NOK 2024 Bonds in USD</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160" w:type="dxa"/>
            <w:vAlign w:val="bottom"/>
          </w:tcPr>
          <w:p>
            <w:pPr>
              <w:spacing w:after="0"/>
              <w:rPr>
                <w:sz w:val="19"/>
                <w:szCs w:val="19"/>
                <w:color w:val="auto"/>
              </w:rPr>
            </w:pPr>
          </w:p>
        </w:tc>
      </w:tr>
      <w:tr>
        <w:trPr>
          <w:trHeight w:val="195"/>
        </w:trPr>
        <w:tc>
          <w:tcPr>
            <w:tcW w:w="1120" w:type="dxa"/>
            <w:vAlign w:val="bottom"/>
          </w:tcPr>
          <w:p>
            <w:pPr>
              <w:spacing w:after="0"/>
              <w:rPr>
                <w:sz w:val="16"/>
                <w:szCs w:val="16"/>
                <w:color w:val="auto"/>
              </w:rPr>
            </w:pPr>
          </w:p>
        </w:tc>
        <w:tc>
          <w:tcPr>
            <w:tcW w:w="29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Borrowings outstanding as of</w:t>
            </w: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11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2,828,459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297,465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13,244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7,016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3,147,395</w:t>
            </w:r>
          </w:p>
        </w:tc>
        <w:tc>
          <w:tcPr>
            <w:tcW w:w="11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F-78</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7"/>
              </w:rPr>
              <w:t>Deferred</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Opening</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2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Non-cash</w:t>
            </w:r>
          </w:p>
        </w:tc>
        <w:tc>
          <w:tcPr>
            <w:tcW w:w="11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financing</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3"/>
                <w:szCs w:val="13"/>
                <w:b w:val="1"/>
                <w:bCs w:val="1"/>
                <w:color w:val="auto"/>
              </w:rPr>
              <w:t>Cash flows</w:t>
            </w:r>
          </w:p>
        </w:tc>
        <w:tc>
          <w:tcPr>
            <w:tcW w:w="160" w:type="dxa"/>
            <w:vAlign w:val="bottom"/>
          </w:tcPr>
          <w:p>
            <w:pPr>
              <w:spacing w:after="0"/>
              <w:rPr>
                <w:sz w:val="14"/>
                <w:szCs w:val="14"/>
                <w:color w:val="auto"/>
              </w:rPr>
            </w:pPr>
          </w:p>
        </w:tc>
        <w:tc>
          <w:tcPr>
            <w:tcW w:w="26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costs, assets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30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outstanding as of</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1, 2020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3,147,395</w:t>
            </w:r>
          </w:p>
        </w:tc>
        <w:tc>
          <w:tcPr>
            <w:tcW w:w="5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3,147,395</w:t>
            </w:r>
          </w:p>
        </w:tc>
        <w:tc>
          <w:tcPr>
            <w:tcW w:w="12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w w:val="99"/>
              </w:rPr>
              <w:t>Proceeds from bank loans and bonds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52"/>
              <w:spacing w:after="0"/>
              <w:rPr>
                <w:sz w:val="20"/>
                <w:szCs w:val="20"/>
                <w:color w:val="auto"/>
              </w:rPr>
            </w:pPr>
            <w:r>
              <w:rPr>
                <w:rFonts w:ascii="Arial" w:cs="Arial" w:eastAsia="Arial" w:hAnsi="Arial"/>
                <w:sz w:val="18"/>
                <w:szCs w:val="18"/>
                <w:color w:val="auto"/>
              </w:rPr>
              <w:t>2,138,035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2,138,035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loans and bond repayments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9"/>
              </w:rPr>
              <w:t>(1,481,709)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(1,489,772)</w:t>
            </w:r>
          </w:p>
        </w:tc>
        <w:tc>
          <w:tcPr>
            <w:tcW w:w="10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Payment for bond repurchase at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premium</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(1,937)</w:t>
            </w:r>
          </w:p>
        </w:tc>
        <w:tc>
          <w:tcPr>
            <w:tcW w:w="102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 in deferred loan fees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(35,795)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(41,240)</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Deferred loan fees received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5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and write-off of deferred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loan/bond issuance costs/premium</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(Note 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22,876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22,876</w:t>
            </w:r>
          </w:p>
        </w:tc>
        <w:tc>
          <w:tcPr>
            <w:tcW w:w="12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w w:val="98"/>
              </w:rPr>
              <w:t>Retranslation of the NOK 2024 Bonds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in USD</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3,248</w:t>
            </w:r>
          </w:p>
        </w:tc>
        <w:tc>
          <w:tcPr>
            <w:tcW w:w="1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(6,176)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(2,928)</w:t>
            </w:r>
          </w:p>
        </w:tc>
        <w:tc>
          <w:tcPr>
            <w:tcW w:w="102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2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3,147,395</w:t>
            </w: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619,386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3,248</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9,634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(6,442)</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3,773,221</w:t>
            </w:r>
          </w:p>
        </w:tc>
        <w:tc>
          <w:tcPr>
            <w:tcW w:w="120" w:type="dxa"/>
            <w:vAlign w:val="bottom"/>
            <w:shd w:val="clear" w:color="auto" w:fill="CCEEFF"/>
          </w:tcPr>
          <w:p>
            <w:pPr>
              <w:spacing w:after="0"/>
              <w:rPr>
                <w:sz w:val="20"/>
                <w:szCs w:val="20"/>
                <w:color w:val="auto"/>
              </w:rPr>
            </w:pPr>
          </w:p>
        </w:tc>
        <w:tc>
          <w:tcPr>
            <w:tcW w:w="1020" w:type="dxa"/>
            <w:vAlign w:val="bottom"/>
          </w:tcPr>
          <w:p>
            <w:pPr>
              <w:spacing w:after="0"/>
              <w:rPr>
                <w:sz w:val="20"/>
                <w:szCs w:val="20"/>
                <w:color w:val="auto"/>
              </w:rPr>
            </w:pPr>
          </w:p>
        </w:tc>
      </w:tr>
      <w:tr>
        <w:trPr>
          <w:trHeight w:val="20"/>
        </w:trPr>
        <w:tc>
          <w:tcPr>
            <w:tcW w:w="40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0"/>
        </w:trPr>
        <w:tc>
          <w:tcPr>
            <w:tcW w:w="6320" w:type="dxa"/>
            <w:vAlign w:val="bottom"/>
            <w:gridSpan w:val="10"/>
          </w:tcPr>
          <w:p>
            <w:pPr>
              <w:jc w:val="right"/>
              <w:ind w:right="580"/>
              <w:spacing w:after="0"/>
              <w:rPr>
                <w:sz w:val="20"/>
                <w:szCs w:val="20"/>
                <w:color w:val="auto"/>
              </w:rPr>
            </w:pPr>
            <w:r>
              <w:rPr>
                <w:rFonts w:ascii="Arial" w:cs="Arial" w:eastAsia="Arial" w:hAnsi="Arial"/>
                <w:sz w:val="18"/>
                <w:szCs w:val="18"/>
                <w:color w:val="auto"/>
                <w:w w:val="96"/>
              </w:rPr>
              <w:t>A reconciliation of derivatives arising from financing activities is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4"/>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left="104"/>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Opening</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93"/>
              <w:spacing w:after="0"/>
              <w:rPr>
                <w:sz w:val="20"/>
                <w:szCs w:val="20"/>
                <w:color w:val="auto"/>
              </w:rPr>
            </w:pPr>
            <w:r>
              <w:rPr>
                <w:rFonts w:ascii="Arial" w:cs="Arial" w:eastAsia="Arial" w:hAnsi="Arial"/>
                <w:sz w:val="13"/>
                <w:szCs w:val="13"/>
                <w:b w:val="1"/>
                <w:bCs w:val="1"/>
                <w:color w:val="auto"/>
                <w:w w:val="90"/>
              </w:rPr>
              <w:t>comprehensive</w:t>
            </w: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Non-cash</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Cash flows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3"/>
                <w:szCs w:val="13"/>
                <w:b w:val="1"/>
                <w:bCs w:val="1"/>
                <w:color w:val="auto"/>
                <w:w w:val="92"/>
              </w:rPr>
              <w:t>income</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items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3"/>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Net derivative assets as of January 1, 2018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16,396</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8"/>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5200" w:type="dxa"/>
            <w:vAlign w:val="bottom"/>
            <w:gridSpan w:val="9"/>
          </w:tcPr>
          <w:p>
            <w:pPr>
              <w:ind w:left="20"/>
              <w:spacing w:after="0"/>
              <w:rPr>
                <w:sz w:val="20"/>
                <w:szCs w:val="20"/>
                <w:color w:val="auto"/>
              </w:rPr>
            </w:pPr>
            <w:r>
              <w:rPr>
                <w:rFonts w:ascii="Arial" w:cs="Arial" w:eastAsia="Arial" w:hAnsi="Arial"/>
                <w:sz w:val="18"/>
                <w:szCs w:val="18"/>
                <w:color w:val="auto"/>
              </w:rPr>
              <w:t>Unrealized loss on derivative financial instruments held for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trading</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jc w:val="right"/>
              <w:ind w:right="93"/>
              <w:spacing w:after="0"/>
              <w:rPr>
                <w:sz w:val="20"/>
                <w:szCs w:val="20"/>
                <w:color w:val="auto"/>
              </w:rPr>
            </w:pPr>
            <w:r>
              <w:rPr>
                <w:rFonts w:ascii="Arial" w:cs="Arial" w:eastAsia="Arial" w:hAnsi="Arial"/>
                <w:sz w:val="18"/>
                <w:szCs w:val="18"/>
                <w:color w:val="auto"/>
                <w:w w:val="88"/>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(7,922)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(7,922)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Ineffective portion of cash flow hedges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8"/>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5200" w:type="dxa"/>
            <w:vAlign w:val="bottom"/>
            <w:gridSpan w:val="9"/>
          </w:tcPr>
          <w:p>
            <w:pPr>
              <w:ind w:left="20"/>
              <w:spacing w:after="0"/>
              <w:rPr>
                <w:sz w:val="20"/>
                <w:szCs w:val="20"/>
                <w:color w:val="auto"/>
              </w:rPr>
            </w:pPr>
            <w:r>
              <w:rPr>
                <w:rFonts w:ascii="Arial" w:cs="Arial" w:eastAsia="Arial" w:hAnsi="Arial"/>
                <w:sz w:val="18"/>
                <w:szCs w:val="18"/>
                <w:color w:val="auto"/>
              </w:rPr>
              <w:t>Effective portion of changes in the fair value of derivatives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900" w:type="dxa"/>
            <w:vAlign w:val="bottom"/>
            <w:gridSpan w:val="4"/>
          </w:tcPr>
          <w:p>
            <w:pPr>
              <w:ind w:left="200"/>
              <w:spacing w:after="0"/>
              <w:rPr>
                <w:sz w:val="20"/>
                <w:szCs w:val="20"/>
                <w:color w:val="auto"/>
              </w:rPr>
            </w:pPr>
            <w:r>
              <w:rPr>
                <w:rFonts w:ascii="Arial" w:cs="Arial" w:eastAsia="Arial" w:hAnsi="Arial"/>
                <w:sz w:val="18"/>
                <w:szCs w:val="18"/>
                <w:color w:val="auto"/>
              </w:rPr>
              <w:t>designated as cash flow hedging instruments</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33"/>
              <w:spacing w:after="0"/>
              <w:rPr>
                <w:sz w:val="20"/>
                <w:szCs w:val="20"/>
                <w:color w:val="auto"/>
              </w:rPr>
            </w:pPr>
            <w:r>
              <w:rPr>
                <w:rFonts w:ascii="Arial" w:cs="Arial" w:eastAsia="Arial" w:hAnsi="Arial"/>
                <w:sz w:val="18"/>
                <w:szCs w:val="18"/>
                <w:color w:val="auto"/>
              </w:rPr>
              <w:t>(5,089)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98"/>
              </w:rPr>
              <w:t>Net derivative assets as of December 31, 2018</w:t>
            </w:r>
          </w:p>
        </w:tc>
        <w:tc>
          <w:tcPr>
            <w:tcW w:w="5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16,396</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5"/>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(5,089)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(8,211)</w:t>
            </w:r>
          </w:p>
        </w:tc>
        <w:tc>
          <w:tcPr>
            <w:tcW w:w="8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5"/>
          </w:tcPr>
          <w:p>
            <w:pPr>
              <w:jc w:val="right"/>
              <w:ind w:right="540"/>
              <w:spacing w:after="0"/>
              <w:rPr>
                <w:sz w:val="20"/>
                <w:szCs w:val="20"/>
                <w:color w:val="auto"/>
              </w:rPr>
            </w:pPr>
            <w:r>
              <w:rPr>
                <w:rFonts w:ascii="Arial" w:cs="Arial" w:eastAsia="Arial" w:hAnsi="Arial"/>
                <w:sz w:val="18"/>
                <w:szCs w:val="18"/>
                <w:color w:val="auto"/>
              </w:rPr>
              <w:t>F-79</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7"/>
              </w:rPr>
              <w:t>Other</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Opening</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gridSpan w:val="2"/>
          </w:tcPr>
          <w:p>
            <w:pPr>
              <w:spacing w:after="0"/>
              <w:rPr>
                <w:sz w:val="14"/>
                <w:szCs w:val="14"/>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income</w:t>
            </w:r>
          </w:p>
        </w:tc>
        <w:tc>
          <w:tcPr>
            <w:tcW w:w="180" w:type="dxa"/>
            <w:vAlign w:val="bottom"/>
            <w:gridSpan w:val="2"/>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derivative assets as of January 1, 2019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7"/>
              </w:rPr>
              <w:t>Unrealized loss on derivative financial instruments held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for trading</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gridSpan w:val="5"/>
          </w:tcPr>
          <w:p>
            <w:pPr>
              <w:jc w:val="right"/>
              <w:ind w:right="1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(54,050)</w:t>
            </w:r>
          </w:p>
        </w:tc>
        <w:tc>
          <w:tcPr>
            <w:tcW w:w="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(54,050)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Ineffective portion of cash flow hedges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Payment for CCS termination</w:t>
            </w: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32"/>
              <w:spacing w:after="0"/>
              <w:rPr>
                <w:sz w:val="20"/>
                <w:szCs w:val="20"/>
                <w:color w:val="auto"/>
              </w:rPr>
            </w:pPr>
            <w:r>
              <w:rPr>
                <w:rFonts w:ascii="Arial" w:cs="Arial" w:eastAsia="Arial" w:hAnsi="Arial"/>
                <w:sz w:val="18"/>
                <w:szCs w:val="18"/>
                <w:color w:val="auto"/>
              </w:rPr>
              <w:t>3,731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4,051</w:t>
            </w:r>
          </w:p>
        </w:tc>
        <w:tc>
          <w:tcPr>
            <w:tcW w:w="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7,782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Effective portion of changes in the fair value of derivatives</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designated as cash flow hedging instruments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(2,608)</w:t>
            </w:r>
          </w:p>
        </w:tc>
        <w:tc>
          <w:tcPr>
            <w:tcW w:w="4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432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w w:val="96"/>
              </w:rPr>
              <w:t>Net derivative assets/(liabilities) as of December 31,</w:t>
            </w: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ind w:left="132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3,096</w:t>
            </w:r>
          </w:p>
        </w:tc>
        <w:tc>
          <w:tcPr>
            <w:tcW w:w="40" w:type="dxa"/>
            <w:vAlign w:val="bottom"/>
          </w:tcPr>
          <w:p>
            <w:pPr>
              <w:spacing w:after="0"/>
              <w:rPr>
                <w:sz w:val="19"/>
                <w:szCs w:val="19"/>
                <w:color w:val="auto"/>
              </w:rPr>
            </w:pPr>
          </w:p>
        </w:tc>
        <w:tc>
          <w:tcPr>
            <w:tcW w:w="90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rPr>
              <w:t>3,731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(2,608)</w:t>
            </w:r>
          </w:p>
        </w:tc>
        <w:tc>
          <w:tcPr>
            <w:tcW w:w="4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(50,150)</w:t>
            </w:r>
          </w:p>
        </w:tc>
        <w:tc>
          <w:tcPr>
            <w:tcW w:w="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(45,931)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rPr>
              <w:t>Opening</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5"/>
          </w:tcPr>
          <w:p>
            <w:pPr>
              <w:ind w:left="40"/>
              <w:spacing w:after="0"/>
              <w:rPr>
                <w:sz w:val="20"/>
                <w:szCs w:val="20"/>
                <w:color w:val="auto"/>
              </w:rPr>
            </w:pPr>
            <w:r>
              <w:rPr>
                <w:rFonts w:ascii="Arial" w:cs="Arial" w:eastAsia="Arial" w:hAnsi="Arial"/>
                <w:sz w:val="13"/>
                <w:szCs w:val="13"/>
                <w:b w:val="1"/>
                <w:bCs w:val="1"/>
                <w:color w:val="auto"/>
              </w:rPr>
              <w:t>comprehensive</w:t>
            </w:r>
          </w:p>
        </w:tc>
        <w:tc>
          <w:tcPr>
            <w:tcW w:w="860" w:type="dxa"/>
            <w:vAlign w:val="bottom"/>
            <w:gridSpan w:val="4"/>
          </w:tcPr>
          <w:p>
            <w:pPr>
              <w:ind w:left="40"/>
              <w:spacing w:after="0"/>
              <w:rPr>
                <w:sz w:val="20"/>
                <w:szCs w:val="20"/>
                <w:color w:val="auto"/>
              </w:rPr>
            </w:pPr>
            <w:r>
              <w:rPr>
                <w:rFonts w:ascii="Arial" w:cs="Arial" w:eastAsia="Arial" w:hAnsi="Arial"/>
                <w:sz w:val="13"/>
                <w:szCs w:val="13"/>
                <w:b w:val="1"/>
                <w:bCs w:val="1"/>
                <w:color w:val="auto"/>
              </w:rPr>
              <w:t>Non-cash</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balance</w:t>
            </w:r>
          </w:p>
        </w:tc>
        <w:tc>
          <w:tcPr>
            <w:tcW w:w="1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Cash flows</w:t>
            </w:r>
          </w:p>
        </w:tc>
        <w:tc>
          <w:tcPr>
            <w:tcW w:w="160" w:type="dxa"/>
            <w:vAlign w:val="bottom"/>
            <w:gridSpan w:val="2"/>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items</w:t>
            </w:r>
          </w:p>
        </w:tc>
        <w:tc>
          <w:tcPr>
            <w:tcW w:w="14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derivative liabilities as of January 1, 2020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(45,931)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(45,931)</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7"/>
              </w:rPr>
              <w:t>Unrealized loss on derivative financial instruments held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for trading</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gridSpan w:val="5"/>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(64,044)</w:t>
            </w:r>
          </w:p>
        </w:tc>
        <w:tc>
          <w:tcPr>
            <w:tcW w:w="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(64,044)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Ineffective portion of cash flow hedges</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Payment for interest rate swaps termination</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31,662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31,662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entering into interest rate swaps</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(31,622)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(31,622)</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Payment for CCS termination</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4,052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(4,052)</w:t>
            </w: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the fair value of</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 designated as cash flow hedging</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8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4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2,498</w:t>
            </w:r>
          </w:p>
        </w:tc>
        <w:tc>
          <w:tcPr>
            <w:tcW w:w="1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derivative liabilities as of December 31, 2020</w:t>
            </w: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(45,931)</w:t>
            </w:r>
          </w:p>
        </w:tc>
        <w:tc>
          <w:tcPr>
            <w:tcW w:w="160" w:type="dxa"/>
            <w:vAlign w:val="bottom"/>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2,498</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(68,419)</w:t>
            </w:r>
          </w:p>
        </w:tc>
        <w:tc>
          <w:tcPr>
            <w:tcW w:w="140" w:type="dxa"/>
            <w:vAlign w:val="bottom"/>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(107,760)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60" w:type="dxa"/>
            <w:vAlign w:val="bottom"/>
            <w:gridSpan w:val="7"/>
          </w:tcPr>
          <w:p>
            <w:pPr>
              <w:ind w:left="340"/>
              <w:spacing w:after="0"/>
              <w:rPr>
                <w:sz w:val="20"/>
                <w:szCs w:val="20"/>
                <w:color w:val="auto"/>
              </w:rPr>
            </w:pPr>
            <w:r>
              <w:rPr>
                <w:rFonts w:ascii="Arial" w:cs="Arial" w:eastAsia="Arial" w:hAnsi="Arial"/>
                <w:sz w:val="18"/>
                <w:szCs w:val="18"/>
                <w:color w:val="auto"/>
                <w:w w:val="95"/>
              </w:rPr>
              <w:t>A reconciliation of lease liabilities arising from financing activities is as follows: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5"/>
          </w:tcPr>
          <w:p>
            <w:pPr>
              <w:jc w:val="right"/>
              <w:ind w:right="33"/>
              <w:spacing w:after="0"/>
              <w:rPr>
                <w:sz w:val="20"/>
                <w:szCs w:val="20"/>
                <w:color w:val="auto"/>
              </w:rPr>
            </w:pPr>
            <w:r>
              <w:rPr>
                <w:rFonts w:ascii="Arial" w:cs="Arial" w:eastAsia="Arial" w:hAnsi="Arial"/>
                <w:sz w:val="13"/>
                <w:szCs w:val="13"/>
                <w:b w:val="1"/>
                <w:bCs w:val="1"/>
                <w:color w:val="auto"/>
              </w:rPr>
              <w:t>Opening</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1"/>
              </w:rPr>
              <w:t>Non-cash</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5"/>
          </w:tcPr>
          <w:p>
            <w:pPr>
              <w:jc w:val="right"/>
              <w:ind w:right="73"/>
              <w:spacing w:after="0"/>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6"/>
              </w:rPr>
              <w:t>Cash flows</w:t>
            </w:r>
          </w:p>
        </w:tc>
        <w:tc>
          <w:tcPr>
            <w:tcW w:w="18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items</w:t>
            </w:r>
          </w:p>
        </w:tc>
        <w:tc>
          <w:tcPr>
            <w:tcW w:w="180" w:type="dxa"/>
            <w:vAlign w:val="bottom"/>
            <w:gridSpan w:val="3"/>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as of January 1, 2018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213,428</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213,428</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Lease charge (Note 19)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interest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(10,520)</w:t>
            </w:r>
          </w:p>
        </w:tc>
        <w:tc>
          <w:tcPr>
            <w:tcW w:w="4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Payments for lease liability</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(7,329)</w:t>
            </w:r>
          </w:p>
        </w:tc>
        <w:tc>
          <w:tcPr>
            <w:tcW w:w="40" w:type="dxa"/>
            <w:vAlign w:val="bottom"/>
          </w:tcPr>
          <w:p>
            <w:pPr>
              <w:spacing w:after="0"/>
              <w:rPr>
                <w:sz w:val="18"/>
                <w:szCs w:val="18"/>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as of December 31, 2018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213,428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(17,849)</w:t>
            </w:r>
          </w:p>
        </w:tc>
        <w:tc>
          <w:tcPr>
            <w:tcW w:w="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10,520</w:t>
            </w:r>
          </w:p>
        </w:tc>
        <w:tc>
          <w:tcPr>
            <w:tcW w:w="1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206,099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8"/>
                <w:szCs w:val="18"/>
                <w:color w:val="auto"/>
              </w:rPr>
              <w:t>F-80</w:t>
            </w: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Opening</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gridSpan w:val="2"/>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as of January 1, 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213,374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213,374</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Lease charge (Note 19)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10,506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10,506</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Payments for interest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(10,521)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(10,521)</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lease liability</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(9,891)</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Lease liabilities as of December 31, 2019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(20,471)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204,930</w:t>
            </w:r>
          </w:p>
        </w:tc>
        <w:tc>
          <w:tcPr>
            <w:tcW w:w="16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5440" w:type="dxa"/>
            <w:vAlign w:val="bottom"/>
          </w:tcPr>
          <w:p>
            <w:pPr>
              <w:spacing w:after="0"/>
              <w:rPr>
                <w:sz w:val="24"/>
                <w:szCs w:val="2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Opening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54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gridSpan w:val="2"/>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as of January 1, 2020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204,930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204,930</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Lease charge (Note 19)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9,921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9,921</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2,155</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Payments for interest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(9,911)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(9,911)</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lease liability</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Lease liabilities as of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(21,061)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196,170</w:t>
            </w:r>
          </w:p>
        </w:tc>
        <w:tc>
          <w:tcPr>
            <w:tcW w:w="16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Taxation</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has qualified for the statutory tax exemption for the year of 2020 and intends to continue to qualify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Earnings/(losses) per share ("EPS")</w:t>
      </w:r>
    </w:p>
    <w:p>
      <w:pPr>
        <w:spacing w:after="0" w:line="231"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Basic earnings/(losses) per share was calculated by dividing the profit/(loss) for the year attributable to the owners of the common shares after deducting the dividend on Preference Shares by the weighted average number of common shares issued and outstanding during the year.</w:t>
      </w:r>
    </w:p>
    <w:p>
      <w:pPr>
        <w:spacing w:after="0" w:line="14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Diluted EPS is calculated by dividing the profit/(loss) for the year attributable to the owners of the Group adjusted for the effects of all dilutive potential ordinary shares by the weighted average number</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Earnings/(losses) per share ("EPS")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of all potential ordinary shares assumed to have been converted into common shares, unless such potential ordinary shares have an antidilutive effect.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240" w:type="dxa"/>
            <w:vAlign w:val="bottom"/>
            <w:gridSpan w:val="7"/>
          </w:tcPr>
          <w:p>
            <w:pPr>
              <w:jc w:val="right"/>
              <w:ind w:right="740"/>
              <w:spacing w:after="0"/>
              <w:rPr>
                <w:sz w:val="20"/>
                <w:szCs w:val="20"/>
                <w:color w:val="auto"/>
              </w:rPr>
            </w:pPr>
            <w:r>
              <w:rPr>
                <w:rFonts w:ascii="Arial" w:cs="Arial" w:eastAsia="Arial" w:hAnsi="Arial"/>
                <w:sz w:val="13"/>
                <w:szCs w:val="13"/>
                <w:b w:val="1"/>
                <w:bCs w:val="1"/>
                <w:color w:val="auto"/>
              </w:rPr>
              <w:t>For the year ended December 31,</w:t>
            </w:r>
          </w:p>
        </w:tc>
      </w:tr>
      <w:tr>
        <w:trPr>
          <w:trHeight w:val="142"/>
        </w:trPr>
        <w:tc>
          <w:tcPr>
            <w:tcW w:w="57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Profit/(loss) for the year attributable to owners of the Group</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47,683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(100,661)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(44,948)</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Dividends on Preference Shares</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Profit/(loss) for the year attributable to owners of the Group</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(110,724)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(55,011)</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80,792,837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80,849,818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88,011,160</w:t>
            </w: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Basic earnings/(loss) per share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60" w:type="dxa"/>
            <w:vAlign w:val="bottom"/>
          </w:tcPr>
          <w:p>
            <w:pPr>
              <w:spacing w:after="0"/>
              <w:rPr>
                <w:sz w:val="18"/>
                <w:szCs w:val="18"/>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740" w:type="dxa"/>
            <w:vAlign w:val="bottom"/>
          </w:tcPr>
          <w:p>
            <w:pPr>
              <w:ind w:left="20"/>
              <w:spacing w:after="0"/>
              <w:rPr>
                <w:sz w:val="20"/>
                <w:szCs w:val="20"/>
                <w:color w:val="auto"/>
              </w:rPr>
            </w:pPr>
            <w:r>
              <w:rPr>
                <w:rFonts w:ascii="Arial" w:cs="Arial" w:eastAsia="Arial" w:hAnsi="Arial"/>
                <w:sz w:val="18"/>
                <w:szCs w:val="18"/>
                <w:color w:val="auto"/>
              </w:rPr>
              <w:t>Profit/(loss) for the year attributable to owners of the Group used in the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740" w:type="dxa"/>
            <w:vAlign w:val="bottom"/>
          </w:tcPr>
          <w:p>
            <w:pPr>
              <w:ind w:left="200"/>
              <w:spacing w:after="0"/>
              <w:rPr>
                <w:sz w:val="20"/>
                <w:szCs w:val="20"/>
                <w:color w:val="auto"/>
              </w:rPr>
            </w:pPr>
            <w:r>
              <w:rPr>
                <w:rFonts w:ascii="Arial" w:cs="Arial" w:eastAsia="Arial" w:hAnsi="Arial"/>
                <w:sz w:val="18"/>
                <w:szCs w:val="18"/>
                <w:color w:val="auto"/>
              </w:rPr>
              <w:t>calculation of diluted EPS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37,620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(110,724)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(55,011)</w:t>
            </w:r>
          </w:p>
        </w:tc>
      </w:tr>
      <w:tr>
        <w:trPr>
          <w:trHeight w:val="21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80,792,837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80,849,818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88,011,160</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Dilutive potential ordinary shares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844,185</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number of shares used in the calculation of diluted EPS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81,637,022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80,849,818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88,011,160</w:t>
            </w: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Diluted earnings/(loss) per share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Group excluded the effect of 2,452,478 SARs, 643,853 RSUs and 501,444 PSUs in calculating diluted EPS for the year ended December 31, 2020, as they were anti-dilutive (December 31, 2019: 2,630,173 SARs, 367,162 RSUs and nil PSUs, December 31, 2018: 555,453 SARs, nil RSUs and nil PSUs).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January 4, 2021, GasLog took delivery of the </w:t>
      </w:r>
      <w:r>
        <w:rPr>
          <w:rFonts w:ascii="Arial" w:cs="Arial" w:eastAsia="Arial" w:hAnsi="Arial"/>
          <w:sz w:val="16"/>
          <w:szCs w:val="16"/>
          <w:i w:val="1"/>
          <w:iCs w:val="1"/>
          <w:color w:val="auto"/>
        </w:rPr>
        <w:t>GasLog Galveston</w:t>
      </w:r>
      <w:r>
        <w:rPr>
          <w:rFonts w:ascii="Arial" w:cs="Arial" w:eastAsia="Arial" w:hAnsi="Arial"/>
          <w:sz w:val="16"/>
          <w:szCs w:val="16"/>
          <w:color w:val="auto"/>
        </w:rPr>
        <w:t>, a 174,000 cbm LNG carrier with X-DF propulsion constructed by Samsung.</w:t>
      </w:r>
    </w:p>
    <w:p>
      <w:pPr>
        <w:spacing w:after="0" w:line="248"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 xml:space="preserve">On January 22, 2021, GasLog's subsidiary, GAS-twenty four Ltd., completed the sale and leaseback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 Hai Kuo Shipping 2051G Limited ("Hai Kuo Shipping"). The vessel was sold to Hai Kuo Shipping. GasLog has leased back the vessel under a bareboat charter from Hai Kuo Shipping for a period of up to eight years. GasLog has the obligation to re-purchase the vessel at end of the charter period. GasLog has also the option to re-purchase the vessel on pre-agreed terms no earlier than the end of the first interest period and no later than the end of year eight of the bareboat charter. The vessel remains on its charter with Shell.</w:t>
      </w:r>
    </w:p>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21, 2021, the board of directors declared a quarterly cash dividend of $0.05 per common share payable on March 11, 2021 to shareholders of record as of March 4, 2021.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2018, 2019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February 21, 2021 GasLog entered into an agreement and plan of merger (the "Merger Agreement") with BlackRock's Global Energy &amp; Power Infrastructure Team (collectively, "GEPIF"), pursuant to which GEPIF will acquire all of the outstanding common shares of GasLog Ltd. that are not held by certain existing shareholders of GasLog Ltd. for a purchase price of $5.80 in cash per share (the "Transaction"). Following the consummation of the Transaction, certain existing shareholders, including Blenheim Holdings, which is wholly owned by the Livanos family, and a wholly owned affiliate of the Onassis Foundation, will continue to hold approximately 55% of the outstanding common shares of GasLog Ltd. and GEPIF will hold approximately 45%.</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251" w:name="page252"/>
    <w:bookmarkEnd w:id="2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4.21</w:t>
      </w:r>
    </w:p>
    <w:p>
      <w:pPr>
        <w:spacing w:after="0" w:line="225" w:lineRule="exact"/>
        <w:rPr>
          <w:sz w:val="20"/>
          <w:szCs w:val="20"/>
          <w:color w:val="auto"/>
        </w:rPr>
      </w:pPr>
    </w:p>
    <w:p>
      <w:pPr>
        <w:ind w:left="3640"/>
        <w:spacing w:after="0"/>
        <w:tabs>
          <w:tab w:leader="none" w:pos="440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30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222885</wp:posOffset>
            </wp:positionV>
            <wp:extent cx="18002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GAS-FIFTEEN LTD.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Arranger</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NATIONAL BANK OF GREECE S.A.</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NATIONAL BANK OF GREECE S.A.</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Security Agent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NATIONAL BANK OF GREECE S.A.</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Guarantors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GASLOG LTD.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GASLOG CARRIERS LTD.</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FACILITY AGREEMENT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 up to</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$97,500,000</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569595</wp:posOffset>
            </wp:positionV>
            <wp:extent cx="71532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142875</wp:posOffset>
            </wp:positionV>
            <wp:extent cx="1979930" cy="2228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1979930" cy="22288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960" w:type="dxa"/>
            <w:vAlign w:val="bottom"/>
            <w:gridSpan w:val="2"/>
          </w:tcPr>
          <w:p>
            <w:pPr>
              <w:jc w:val="right"/>
              <w:ind w:right="5320"/>
              <w:spacing w:after="0"/>
              <w:rPr>
                <w:sz w:val="20"/>
                <w:szCs w:val="20"/>
                <w:color w:val="auto"/>
              </w:rPr>
            </w:pPr>
            <w:r>
              <w:rPr>
                <w:rFonts w:ascii="Arial" w:cs="Arial" w:eastAsia="Arial" w:hAnsi="Arial"/>
                <w:sz w:val="18"/>
                <w:szCs w:val="18"/>
                <w:b w:val="1"/>
                <w:bCs w:val="1"/>
                <w:color w:val="auto"/>
              </w:rPr>
              <w:t>Contents</w:t>
            </w:r>
          </w:p>
        </w:tc>
      </w:tr>
      <w:tr>
        <w:trPr>
          <w:trHeight w:val="364"/>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38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82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820" w:type="dxa"/>
            <w:vAlign w:val="bottom"/>
          </w:tcPr>
          <w:p>
            <w:pPr>
              <w:ind w:left="80"/>
              <w:spacing w:after="0"/>
              <w:rPr>
                <w:sz w:val="20"/>
                <w:szCs w:val="20"/>
                <w:color w:val="auto"/>
              </w:rPr>
            </w:pPr>
            <w:r>
              <w:rPr>
                <w:rFonts w:ascii="Arial" w:cs="Arial" w:eastAsia="Arial" w:hAnsi="Arial"/>
                <w:sz w:val="18"/>
                <w:szCs w:val="18"/>
                <w:color w:val="auto"/>
              </w:rPr>
              <w:t>The Facility</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820" w:type="dxa"/>
            <w:vAlign w:val="bottom"/>
          </w:tcPr>
          <w:p>
            <w:pPr>
              <w:ind w:left="80"/>
              <w:spacing w:after="0"/>
              <w:rPr>
                <w:sz w:val="20"/>
                <w:szCs w:val="20"/>
                <w:color w:val="auto"/>
              </w:rPr>
            </w:pPr>
            <w:r>
              <w:rPr>
                <w:rFonts w:ascii="Arial" w:cs="Arial" w:eastAsia="Arial" w:hAnsi="Arial"/>
                <w:sz w:val="18"/>
                <w:szCs w:val="18"/>
                <w:color w:val="auto"/>
              </w:rPr>
              <w:t>Purpose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820" w:type="dxa"/>
            <w:vAlign w:val="bottom"/>
          </w:tcPr>
          <w:p>
            <w:pPr>
              <w:ind w:left="80"/>
              <w:spacing w:after="0"/>
              <w:rPr>
                <w:sz w:val="20"/>
                <w:szCs w:val="20"/>
                <w:color w:val="auto"/>
              </w:rPr>
            </w:pPr>
            <w:r>
              <w:rPr>
                <w:rFonts w:ascii="Arial" w:cs="Arial" w:eastAsia="Arial" w:hAnsi="Arial"/>
                <w:sz w:val="18"/>
                <w:szCs w:val="18"/>
                <w:color w:val="auto"/>
              </w:rPr>
              <w:t>Conditions of Utilisation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820" w:type="dxa"/>
            <w:vAlign w:val="bottom"/>
          </w:tcPr>
          <w:p>
            <w:pPr>
              <w:ind w:left="80"/>
              <w:spacing w:after="0"/>
              <w:rPr>
                <w:sz w:val="20"/>
                <w:szCs w:val="20"/>
                <w:color w:val="auto"/>
              </w:rPr>
            </w:pPr>
            <w:r>
              <w:rPr>
                <w:rFonts w:ascii="Arial" w:cs="Arial" w:eastAsia="Arial" w:hAnsi="Arial"/>
                <w:sz w:val="18"/>
                <w:szCs w:val="18"/>
                <w:color w:val="auto"/>
              </w:rPr>
              <w:t>Utilisation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820" w:type="dxa"/>
            <w:vAlign w:val="bottom"/>
          </w:tcPr>
          <w:p>
            <w:pPr>
              <w:ind w:left="80"/>
              <w:spacing w:after="0"/>
              <w:rPr>
                <w:sz w:val="20"/>
                <w:szCs w:val="20"/>
                <w:color w:val="auto"/>
              </w:rPr>
            </w:pPr>
            <w:r>
              <w:rPr>
                <w:rFonts w:ascii="Arial" w:cs="Arial" w:eastAsia="Arial" w:hAnsi="Arial"/>
                <w:sz w:val="18"/>
                <w:szCs w:val="18"/>
                <w:color w:val="auto"/>
              </w:rPr>
              <w:t>Repayment</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820" w:type="dxa"/>
            <w:vAlign w:val="bottom"/>
          </w:tcPr>
          <w:p>
            <w:pPr>
              <w:ind w:left="80"/>
              <w:spacing w:after="0"/>
              <w:rPr>
                <w:sz w:val="20"/>
                <w:szCs w:val="20"/>
                <w:color w:val="auto"/>
              </w:rPr>
            </w:pPr>
            <w:r>
              <w:rPr>
                <w:rFonts w:ascii="Arial" w:cs="Arial" w:eastAsia="Arial" w:hAnsi="Arial"/>
                <w:sz w:val="18"/>
                <w:szCs w:val="18"/>
                <w:color w:val="auto"/>
              </w:rPr>
              <w:t>Illegality, prepayment and cancellation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820" w:type="dxa"/>
            <w:vAlign w:val="bottom"/>
          </w:tcPr>
          <w:p>
            <w:pPr>
              <w:ind w:left="80"/>
              <w:spacing w:after="0"/>
              <w:rPr>
                <w:sz w:val="20"/>
                <w:szCs w:val="20"/>
                <w:color w:val="auto"/>
              </w:rPr>
            </w:pPr>
            <w:r>
              <w:rPr>
                <w:rFonts w:ascii="Arial" w:cs="Arial" w:eastAsia="Arial" w:hAnsi="Arial"/>
                <w:sz w:val="18"/>
                <w:szCs w:val="18"/>
                <w:color w:val="auto"/>
              </w:rPr>
              <w:t>Interest</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820" w:type="dxa"/>
            <w:vAlign w:val="bottom"/>
          </w:tcPr>
          <w:p>
            <w:pPr>
              <w:ind w:left="80"/>
              <w:spacing w:after="0"/>
              <w:rPr>
                <w:sz w:val="20"/>
                <w:szCs w:val="20"/>
                <w:color w:val="auto"/>
              </w:rPr>
            </w:pPr>
            <w:r>
              <w:rPr>
                <w:rFonts w:ascii="Arial" w:cs="Arial" w:eastAsia="Arial" w:hAnsi="Arial"/>
                <w:sz w:val="18"/>
                <w:szCs w:val="18"/>
                <w:color w:val="auto"/>
              </w:rPr>
              <w:t>Interest Periods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820" w:type="dxa"/>
            <w:vAlign w:val="bottom"/>
          </w:tcPr>
          <w:p>
            <w:pPr>
              <w:ind w:left="80"/>
              <w:spacing w:after="0"/>
              <w:rPr>
                <w:sz w:val="20"/>
                <w:szCs w:val="20"/>
                <w:color w:val="auto"/>
              </w:rPr>
            </w:pPr>
            <w:r>
              <w:rPr>
                <w:rFonts w:ascii="Arial" w:cs="Arial" w:eastAsia="Arial" w:hAnsi="Arial"/>
                <w:sz w:val="18"/>
                <w:szCs w:val="18"/>
                <w:color w:val="auto"/>
              </w:rPr>
              <w:t>Changes to the calculation of interest</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820" w:type="dxa"/>
            <w:vAlign w:val="bottom"/>
          </w:tcPr>
          <w:p>
            <w:pPr>
              <w:ind w:left="80"/>
              <w:spacing w:after="0"/>
              <w:rPr>
                <w:sz w:val="20"/>
                <w:szCs w:val="20"/>
                <w:color w:val="auto"/>
              </w:rPr>
            </w:pPr>
            <w:r>
              <w:rPr>
                <w:rFonts w:ascii="Arial" w:cs="Arial" w:eastAsia="Arial" w:hAnsi="Arial"/>
                <w:sz w:val="18"/>
                <w:szCs w:val="18"/>
                <w:color w:val="auto"/>
              </w:rPr>
              <w:t>Fees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820" w:type="dxa"/>
            <w:vAlign w:val="bottom"/>
          </w:tcPr>
          <w:p>
            <w:pPr>
              <w:ind w:left="80"/>
              <w:spacing w:after="0"/>
              <w:rPr>
                <w:sz w:val="20"/>
                <w:szCs w:val="20"/>
                <w:color w:val="auto"/>
              </w:rPr>
            </w:pPr>
            <w:r>
              <w:rPr>
                <w:rFonts w:ascii="Arial" w:cs="Arial" w:eastAsia="Arial" w:hAnsi="Arial"/>
                <w:sz w:val="18"/>
                <w:szCs w:val="18"/>
                <w:color w:val="auto"/>
              </w:rPr>
              <w:t>Tax gross-up and indemnities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820" w:type="dxa"/>
            <w:vAlign w:val="bottom"/>
          </w:tcPr>
          <w:p>
            <w:pPr>
              <w:ind w:left="80"/>
              <w:spacing w:after="0"/>
              <w:rPr>
                <w:sz w:val="20"/>
                <w:szCs w:val="20"/>
                <w:color w:val="auto"/>
              </w:rPr>
            </w:pPr>
            <w:r>
              <w:rPr>
                <w:rFonts w:ascii="Arial" w:cs="Arial" w:eastAsia="Arial" w:hAnsi="Arial"/>
                <w:sz w:val="18"/>
                <w:szCs w:val="18"/>
                <w:color w:val="auto"/>
              </w:rPr>
              <w:t>Increased Costs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820" w:type="dxa"/>
            <w:vAlign w:val="bottom"/>
          </w:tcPr>
          <w:p>
            <w:pPr>
              <w:ind w:left="80"/>
              <w:spacing w:after="0"/>
              <w:rPr>
                <w:sz w:val="20"/>
                <w:szCs w:val="20"/>
                <w:color w:val="auto"/>
              </w:rPr>
            </w:pPr>
            <w:r>
              <w:rPr>
                <w:rFonts w:ascii="Arial" w:cs="Arial" w:eastAsia="Arial" w:hAnsi="Arial"/>
                <w:sz w:val="18"/>
                <w:szCs w:val="18"/>
                <w:color w:val="auto"/>
              </w:rPr>
              <w:t>Other indemnities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3820" w:type="dxa"/>
            <w:vAlign w:val="bottom"/>
          </w:tcPr>
          <w:p>
            <w:pPr>
              <w:ind w:left="80"/>
              <w:spacing w:after="0"/>
              <w:rPr>
                <w:sz w:val="20"/>
                <w:szCs w:val="20"/>
                <w:color w:val="auto"/>
              </w:rPr>
            </w:pPr>
            <w:r>
              <w:rPr>
                <w:rFonts w:ascii="Arial" w:cs="Arial" w:eastAsia="Arial" w:hAnsi="Arial"/>
                <w:sz w:val="18"/>
                <w:szCs w:val="18"/>
                <w:color w:val="auto"/>
              </w:rPr>
              <w:t>Mitigation by the Lenders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820" w:type="dxa"/>
            <w:vAlign w:val="bottom"/>
          </w:tcPr>
          <w:p>
            <w:pPr>
              <w:ind w:left="80"/>
              <w:spacing w:after="0"/>
              <w:rPr>
                <w:sz w:val="20"/>
                <w:szCs w:val="20"/>
                <w:color w:val="auto"/>
              </w:rPr>
            </w:pPr>
            <w:r>
              <w:rPr>
                <w:rFonts w:ascii="Arial" w:cs="Arial" w:eastAsia="Arial" w:hAnsi="Arial"/>
                <w:sz w:val="18"/>
                <w:szCs w:val="18"/>
                <w:color w:val="auto"/>
              </w:rPr>
              <w:t>Costs and expenses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820" w:type="dxa"/>
            <w:vAlign w:val="bottom"/>
          </w:tcPr>
          <w:p>
            <w:pPr>
              <w:ind w:left="80"/>
              <w:spacing w:after="0"/>
              <w:rPr>
                <w:sz w:val="20"/>
                <w:szCs w:val="20"/>
                <w:color w:val="auto"/>
              </w:rPr>
            </w:pPr>
            <w:r>
              <w:rPr>
                <w:rFonts w:ascii="Arial" w:cs="Arial" w:eastAsia="Arial" w:hAnsi="Arial"/>
                <w:sz w:val="18"/>
                <w:szCs w:val="18"/>
                <w:color w:val="auto"/>
              </w:rPr>
              <w:t>Guarantee and indemnity</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820" w:type="dxa"/>
            <w:vAlign w:val="bottom"/>
          </w:tcPr>
          <w:p>
            <w:pPr>
              <w:ind w:left="80"/>
              <w:spacing w:after="0"/>
              <w:rPr>
                <w:sz w:val="20"/>
                <w:szCs w:val="20"/>
                <w:color w:val="auto"/>
              </w:rPr>
            </w:pPr>
            <w:r>
              <w:rPr>
                <w:rFonts w:ascii="Arial" w:cs="Arial" w:eastAsia="Arial" w:hAnsi="Arial"/>
                <w:sz w:val="18"/>
                <w:szCs w:val="18"/>
                <w:color w:val="auto"/>
              </w:rPr>
              <w:t>Representations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3820" w:type="dxa"/>
            <w:vAlign w:val="bottom"/>
          </w:tcPr>
          <w:p>
            <w:pPr>
              <w:ind w:left="80"/>
              <w:spacing w:after="0"/>
              <w:rPr>
                <w:sz w:val="20"/>
                <w:szCs w:val="20"/>
                <w:color w:val="auto"/>
              </w:rPr>
            </w:pPr>
            <w:r>
              <w:rPr>
                <w:rFonts w:ascii="Arial" w:cs="Arial" w:eastAsia="Arial" w:hAnsi="Arial"/>
                <w:sz w:val="18"/>
                <w:szCs w:val="18"/>
                <w:color w:val="auto"/>
              </w:rPr>
              <w:t>Information undertakings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3820" w:type="dxa"/>
            <w:vAlign w:val="bottom"/>
          </w:tcPr>
          <w:p>
            <w:pPr>
              <w:ind w:left="80"/>
              <w:spacing w:after="0"/>
              <w:rPr>
                <w:sz w:val="20"/>
                <w:szCs w:val="20"/>
                <w:color w:val="auto"/>
              </w:rPr>
            </w:pPr>
            <w:r>
              <w:rPr>
                <w:rFonts w:ascii="Arial" w:cs="Arial" w:eastAsia="Arial" w:hAnsi="Arial"/>
                <w:sz w:val="18"/>
                <w:szCs w:val="18"/>
                <w:color w:val="auto"/>
              </w:rPr>
              <w:t>Financial covenants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820" w:type="dxa"/>
            <w:vAlign w:val="bottom"/>
          </w:tcPr>
          <w:p>
            <w:pPr>
              <w:ind w:left="80"/>
              <w:spacing w:after="0"/>
              <w:rPr>
                <w:sz w:val="20"/>
                <w:szCs w:val="20"/>
                <w:color w:val="auto"/>
              </w:rPr>
            </w:pPr>
            <w:r>
              <w:rPr>
                <w:rFonts w:ascii="Arial" w:cs="Arial" w:eastAsia="Arial" w:hAnsi="Arial"/>
                <w:sz w:val="18"/>
                <w:szCs w:val="18"/>
                <w:color w:val="auto"/>
              </w:rPr>
              <w:t>General undertakings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820" w:type="dxa"/>
            <w:vAlign w:val="bottom"/>
          </w:tcPr>
          <w:p>
            <w:pPr>
              <w:ind w:left="80"/>
              <w:spacing w:after="0"/>
              <w:rPr>
                <w:sz w:val="20"/>
                <w:szCs w:val="20"/>
                <w:color w:val="auto"/>
              </w:rPr>
            </w:pPr>
            <w:r>
              <w:rPr>
                <w:rFonts w:ascii="Arial" w:cs="Arial" w:eastAsia="Arial" w:hAnsi="Arial"/>
                <w:sz w:val="18"/>
                <w:szCs w:val="18"/>
                <w:color w:val="auto"/>
              </w:rPr>
              <w:t>Dealings with Ship</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820" w:type="dxa"/>
            <w:vAlign w:val="bottom"/>
          </w:tcPr>
          <w:p>
            <w:pPr>
              <w:ind w:left="80"/>
              <w:spacing w:after="0"/>
              <w:rPr>
                <w:sz w:val="20"/>
                <w:szCs w:val="20"/>
                <w:color w:val="auto"/>
              </w:rPr>
            </w:pPr>
            <w:r>
              <w:rPr>
                <w:rFonts w:ascii="Arial" w:cs="Arial" w:eastAsia="Arial" w:hAnsi="Arial"/>
                <w:sz w:val="18"/>
                <w:szCs w:val="18"/>
                <w:color w:val="auto"/>
              </w:rPr>
              <w:t>Condition and operation of Ship</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3820" w:type="dxa"/>
            <w:vAlign w:val="bottom"/>
          </w:tcPr>
          <w:p>
            <w:pPr>
              <w:ind w:left="80"/>
              <w:spacing w:after="0"/>
              <w:rPr>
                <w:sz w:val="20"/>
                <w:szCs w:val="20"/>
                <w:color w:val="auto"/>
              </w:rPr>
            </w:pPr>
            <w:r>
              <w:rPr>
                <w:rFonts w:ascii="Arial" w:cs="Arial" w:eastAsia="Arial" w:hAnsi="Arial"/>
                <w:sz w:val="18"/>
                <w:szCs w:val="18"/>
                <w:color w:val="auto"/>
              </w:rPr>
              <w:t>Insurance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3820" w:type="dxa"/>
            <w:vAlign w:val="bottom"/>
          </w:tcPr>
          <w:p>
            <w:pPr>
              <w:ind w:left="80"/>
              <w:spacing w:after="0"/>
              <w:rPr>
                <w:sz w:val="20"/>
                <w:szCs w:val="20"/>
                <w:color w:val="auto"/>
              </w:rPr>
            </w:pPr>
            <w:r>
              <w:rPr>
                <w:rFonts w:ascii="Arial" w:cs="Arial" w:eastAsia="Arial" w:hAnsi="Arial"/>
                <w:sz w:val="18"/>
                <w:szCs w:val="18"/>
                <w:color w:val="auto"/>
              </w:rPr>
              <w:t>Minimum security value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3820" w:type="dxa"/>
            <w:vAlign w:val="bottom"/>
          </w:tcPr>
          <w:p>
            <w:pPr>
              <w:ind w:left="80"/>
              <w:spacing w:after="0"/>
              <w:rPr>
                <w:sz w:val="20"/>
                <w:szCs w:val="20"/>
                <w:color w:val="auto"/>
              </w:rPr>
            </w:pPr>
            <w:r>
              <w:rPr>
                <w:rFonts w:ascii="Arial" w:cs="Arial" w:eastAsia="Arial" w:hAnsi="Arial"/>
                <w:sz w:val="18"/>
                <w:szCs w:val="18"/>
                <w:color w:val="auto"/>
              </w:rPr>
              <w:t>Chartering undertakings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3820" w:type="dxa"/>
            <w:vAlign w:val="bottom"/>
          </w:tcPr>
          <w:p>
            <w:pPr>
              <w:ind w:left="80"/>
              <w:spacing w:after="0"/>
              <w:rPr>
                <w:sz w:val="20"/>
                <w:szCs w:val="20"/>
                <w:color w:val="auto"/>
              </w:rPr>
            </w:pPr>
            <w:r>
              <w:rPr>
                <w:rFonts w:ascii="Arial" w:cs="Arial" w:eastAsia="Arial" w:hAnsi="Arial"/>
                <w:sz w:val="18"/>
                <w:szCs w:val="18"/>
                <w:color w:val="auto"/>
              </w:rPr>
              <w:t>Bank accounts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348"/>
        </w:trPr>
        <w:tc>
          <w:tcPr>
            <w:tcW w:w="5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6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28</w:t>
            </w:r>
          </w:p>
        </w:tc>
        <w:tc>
          <w:tcPr>
            <w:tcW w:w="7820" w:type="dxa"/>
            <w:vAlign w:val="bottom"/>
          </w:tcPr>
          <w:p>
            <w:pPr>
              <w:ind w:left="200"/>
              <w:spacing w:after="0"/>
              <w:rPr>
                <w:sz w:val="20"/>
                <w:szCs w:val="20"/>
                <w:color w:val="auto"/>
              </w:rPr>
            </w:pPr>
            <w:r>
              <w:rPr>
                <w:rFonts w:ascii="Arial" w:cs="Arial" w:eastAsia="Arial" w:hAnsi="Arial"/>
                <w:sz w:val="18"/>
                <w:szCs w:val="18"/>
                <w:color w:val="auto"/>
              </w:rPr>
              <w:t>Business restrictions</w:t>
            </w:r>
          </w:p>
        </w:tc>
        <w:tc>
          <w:tcPr>
            <w:tcW w:w="30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29</w:t>
            </w:r>
          </w:p>
        </w:tc>
        <w:tc>
          <w:tcPr>
            <w:tcW w:w="782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30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30</w:t>
            </w:r>
          </w:p>
        </w:tc>
        <w:tc>
          <w:tcPr>
            <w:tcW w:w="7820" w:type="dxa"/>
            <w:vAlign w:val="bottom"/>
          </w:tcPr>
          <w:p>
            <w:pPr>
              <w:ind w:left="200"/>
              <w:spacing w:after="0"/>
              <w:rPr>
                <w:sz w:val="20"/>
                <w:szCs w:val="20"/>
                <w:color w:val="auto"/>
              </w:rPr>
            </w:pPr>
            <w:r>
              <w:rPr>
                <w:rFonts w:ascii="Arial" w:cs="Arial" w:eastAsia="Arial" w:hAnsi="Arial"/>
                <w:sz w:val="18"/>
                <w:szCs w:val="18"/>
                <w:color w:val="auto"/>
              </w:rPr>
              <w:t>Changes to the Lenders</w:t>
            </w:r>
          </w:p>
        </w:tc>
        <w:tc>
          <w:tcPr>
            <w:tcW w:w="30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7820" w:type="dxa"/>
            <w:vAlign w:val="bottom"/>
          </w:tcPr>
          <w:p>
            <w:pPr>
              <w:ind w:left="200"/>
              <w:spacing w:after="0"/>
              <w:rPr>
                <w:sz w:val="20"/>
                <w:szCs w:val="20"/>
                <w:color w:val="auto"/>
              </w:rPr>
            </w:pPr>
            <w:r>
              <w:rPr>
                <w:rFonts w:ascii="Arial" w:cs="Arial" w:eastAsia="Arial" w:hAnsi="Arial"/>
                <w:sz w:val="18"/>
                <w:szCs w:val="18"/>
                <w:color w:val="auto"/>
              </w:rPr>
              <w:t>Changes to the Obligors/Restriction on Debt Purchase Transactions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7820" w:type="dxa"/>
            <w:vAlign w:val="bottom"/>
          </w:tcPr>
          <w:p>
            <w:pPr>
              <w:ind w:left="200"/>
              <w:spacing w:after="0"/>
              <w:rPr>
                <w:sz w:val="20"/>
                <w:szCs w:val="20"/>
                <w:color w:val="auto"/>
              </w:rPr>
            </w:pPr>
            <w:r>
              <w:rPr>
                <w:rFonts w:ascii="Arial" w:cs="Arial" w:eastAsia="Arial" w:hAnsi="Arial"/>
                <w:sz w:val="18"/>
                <w:szCs w:val="18"/>
                <w:color w:val="auto"/>
              </w:rPr>
              <w:t>Roles of Agent, Security Agent and Arranger</w:t>
            </w:r>
          </w:p>
        </w:tc>
        <w:tc>
          <w:tcPr>
            <w:tcW w:w="3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7820" w:type="dxa"/>
            <w:vAlign w:val="bottom"/>
          </w:tcPr>
          <w:p>
            <w:pPr>
              <w:ind w:left="200"/>
              <w:spacing w:after="0"/>
              <w:rPr>
                <w:sz w:val="20"/>
                <w:szCs w:val="20"/>
                <w:color w:val="auto"/>
              </w:rPr>
            </w:pPr>
            <w:r>
              <w:rPr>
                <w:rFonts w:ascii="Arial" w:cs="Arial" w:eastAsia="Arial" w:hAnsi="Arial"/>
                <w:sz w:val="18"/>
                <w:szCs w:val="18"/>
                <w:color w:val="auto"/>
              </w:rPr>
              <w:t>Conduct of business by the Finance Parties</w:t>
            </w:r>
          </w:p>
        </w:tc>
        <w:tc>
          <w:tcPr>
            <w:tcW w:w="3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7820" w:type="dxa"/>
            <w:vAlign w:val="bottom"/>
          </w:tcPr>
          <w:p>
            <w:pPr>
              <w:ind w:left="200"/>
              <w:spacing w:after="0"/>
              <w:rPr>
                <w:sz w:val="20"/>
                <w:szCs w:val="20"/>
                <w:color w:val="auto"/>
              </w:rPr>
            </w:pPr>
            <w:r>
              <w:rPr>
                <w:rFonts w:ascii="Arial" w:cs="Arial" w:eastAsia="Arial" w:hAnsi="Arial"/>
                <w:sz w:val="18"/>
                <w:szCs w:val="18"/>
                <w:color w:val="auto"/>
              </w:rPr>
              <w:t>Sharing among the Finance Parties</w:t>
            </w:r>
          </w:p>
        </w:tc>
        <w:tc>
          <w:tcPr>
            <w:tcW w:w="3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35</w:t>
            </w:r>
          </w:p>
        </w:tc>
        <w:tc>
          <w:tcPr>
            <w:tcW w:w="7820" w:type="dxa"/>
            <w:vAlign w:val="bottom"/>
          </w:tcPr>
          <w:p>
            <w:pPr>
              <w:ind w:left="200"/>
              <w:spacing w:after="0"/>
              <w:rPr>
                <w:sz w:val="20"/>
                <w:szCs w:val="20"/>
                <w:color w:val="auto"/>
              </w:rPr>
            </w:pPr>
            <w:r>
              <w:rPr>
                <w:rFonts w:ascii="Arial" w:cs="Arial" w:eastAsia="Arial" w:hAnsi="Arial"/>
                <w:sz w:val="18"/>
                <w:szCs w:val="18"/>
                <w:color w:val="auto"/>
              </w:rPr>
              <w:t>Payment mechanics</w:t>
            </w:r>
          </w:p>
        </w:tc>
        <w:tc>
          <w:tcPr>
            <w:tcW w:w="3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36</w:t>
            </w:r>
          </w:p>
        </w:tc>
        <w:tc>
          <w:tcPr>
            <w:tcW w:w="7820" w:type="dxa"/>
            <w:vAlign w:val="bottom"/>
          </w:tcPr>
          <w:p>
            <w:pPr>
              <w:ind w:left="200"/>
              <w:spacing w:after="0"/>
              <w:rPr>
                <w:sz w:val="20"/>
                <w:szCs w:val="20"/>
                <w:color w:val="auto"/>
              </w:rPr>
            </w:pPr>
            <w:r>
              <w:rPr>
                <w:rFonts w:ascii="Arial" w:cs="Arial" w:eastAsia="Arial" w:hAnsi="Arial"/>
                <w:sz w:val="18"/>
                <w:szCs w:val="18"/>
                <w:color w:val="auto"/>
              </w:rPr>
              <w:t>Set-off</w:t>
            </w:r>
          </w:p>
        </w:tc>
        <w:tc>
          <w:tcPr>
            <w:tcW w:w="3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37</w:t>
            </w:r>
          </w:p>
        </w:tc>
        <w:tc>
          <w:tcPr>
            <w:tcW w:w="7820" w:type="dxa"/>
            <w:vAlign w:val="bottom"/>
          </w:tcPr>
          <w:p>
            <w:pPr>
              <w:ind w:left="200"/>
              <w:spacing w:after="0"/>
              <w:rPr>
                <w:sz w:val="20"/>
                <w:szCs w:val="20"/>
                <w:color w:val="auto"/>
              </w:rPr>
            </w:pPr>
            <w:r>
              <w:rPr>
                <w:rFonts w:ascii="Arial" w:cs="Arial" w:eastAsia="Arial" w:hAnsi="Arial"/>
                <w:sz w:val="18"/>
                <w:szCs w:val="18"/>
                <w:color w:val="auto"/>
              </w:rPr>
              <w:t>Notices</w:t>
            </w:r>
          </w:p>
        </w:tc>
        <w:tc>
          <w:tcPr>
            <w:tcW w:w="3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38</w:t>
            </w:r>
          </w:p>
        </w:tc>
        <w:tc>
          <w:tcPr>
            <w:tcW w:w="7820" w:type="dxa"/>
            <w:vAlign w:val="bottom"/>
          </w:tcPr>
          <w:p>
            <w:pPr>
              <w:ind w:left="200"/>
              <w:spacing w:after="0"/>
              <w:rPr>
                <w:sz w:val="20"/>
                <w:szCs w:val="20"/>
                <w:color w:val="auto"/>
              </w:rPr>
            </w:pPr>
            <w:r>
              <w:rPr>
                <w:rFonts w:ascii="Arial" w:cs="Arial" w:eastAsia="Arial" w:hAnsi="Arial"/>
                <w:sz w:val="18"/>
                <w:szCs w:val="18"/>
                <w:color w:val="auto"/>
              </w:rPr>
              <w:t>Calculations and certificates</w:t>
            </w:r>
          </w:p>
        </w:tc>
        <w:tc>
          <w:tcPr>
            <w:tcW w:w="30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39</w:t>
            </w:r>
          </w:p>
        </w:tc>
        <w:tc>
          <w:tcPr>
            <w:tcW w:w="7820" w:type="dxa"/>
            <w:vAlign w:val="bottom"/>
          </w:tcPr>
          <w:p>
            <w:pPr>
              <w:ind w:left="200"/>
              <w:spacing w:after="0"/>
              <w:rPr>
                <w:sz w:val="20"/>
                <w:szCs w:val="20"/>
                <w:color w:val="auto"/>
              </w:rPr>
            </w:pPr>
            <w:r>
              <w:rPr>
                <w:rFonts w:ascii="Arial" w:cs="Arial" w:eastAsia="Arial" w:hAnsi="Arial"/>
                <w:sz w:val="18"/>
                <w:szCs w:val="18"/>
                <w:color w:val="auto"/>
              </w:rPr>
              <w:t>Partial invalidity</w:t>
            </w:r>
          </w:p>
        </w:tc>
        <w:tc>
          <w:tcPr>
            <w:tcW w:w="3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40</w:t>
            </w:r>
          </w:p>
        </w:tc>
        <w:tc>
          <w:tcPr>
            <w:tcW w:w="7820" w:type="dxa"/>
            <w:vAlign w:val="bottom"/>
          </w:tcPr>
          <w:p>
            <w:pPr>
              <w:ind w:left="200"/>
              <w:spacing w:after="0"/>
              <w:rPr>
                <w:sz w:val="20"/>
                <w:szCs w:val="20"/>
                <w:color w:val="auto"/>
              </w:rPr>
            </w:pPr>
            <w:r>
              <w:rPr>
                <w:rFonts w:ascii="Arial" w:cs="Arial" w:eastAsia="Arial" w:hAnsi="Arial"/>
                <w:sz w:val="18"/>
                <w:szCs w:val="18"/>
                <w:color w:val="auto"/>
              </w:rPr>
              <w:t>Remedies and waivers</w:t>
            </w:r>
          </w:p>
        </w:tc>
        <w:tc>
          <w:tcPr>
            <w:tcW w:w="3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7820" w:type="dxa"/>
            <w:vAlign w:val="bottom"/>
          </w:tcPr>
          <w:p>
            <w:pPr>
              <w:ind w:left="200"/>
              <w:spacing w:after="0"/>
              <w:rPr>
                <w:sz w:val="20"/>
                <w:szCs w:val="20"/>
                <w:color w:val="auto"/>
              </w:rPr>
            </w:pPr>
            <w:r>
              <w:rPr>
                <w:rFonts w:ascii="Arial" w:cs="Arial" w:eastAsia="Arial" w:hAnsi="Arial"/>
                <w:sz w:val="18"/>
                <w:szCs w:val="18"/>
                <w:color w:val="auto"/>
              </w:rPr>
              <w:t>Amendments and grant of waivers</w:t>
            </w:r>
          </w:p>
        </w:tc>
        <w:tc>
          <w:tcPr>
            <w:tcW w:w="3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782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3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782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3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78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782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3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3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30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Part°1 Conditions precedent to Utilisation Request</w:t>
            </w:r>
          </w:p>
        </w:tc>
        <w:tc>
          <w:tcPr>
            <w:tcW w:w="30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Part°2 Conditions precedent to Utilisation</w:t>
            </w:r>
          </w:p>
        </w:tc>
        <w:tc>
          <w:tcPr>
            <w:tcW w:w="30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30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5 Form of Compliance Certificate</w:t>
            </w:r>
          </w:p>
        </w:tc>
        <w:tc>
          <w:tcPr>
            <w:tcW w:w="3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6 Form of Transfer Certificate</w:t>
            </w:r>
          </w:p>
        </w:tc>
        <w:tc>
          <w:tcPr>
            <w:tcW w:w="3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Schedule 7 Repayment Schedule</w:t>
            </w:r>
          </w:p>
        </w:tc>
        <w:tc>
          <w:tcPr>
            <w:tcW w:w="304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32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w:t>
      </w:r>
      <w:r>
        <w:rPr>
          <w:sz w:val="20"/>
          <w:szCs w:val="20"/>
          <w:color w:val="auto"/>
        </w:rPr>
        <w:tab/>
      </w:r>
      <w:r>
        <w:rPr>
          <w:rFonts w:ascii="Arial" w:cs="Arial" w:eastAsia="Arial" w:hAnsi="Arial"/>
          <w:sz w:val="16"/>
          <w:szCs w:val="16"/>
          <w:color w:val="auto"/>
        </w:rPr>
        <w:t>30 July 2020, and made between:</w:t>
      </w:r>
    </w:p>
    <w:p>
      <w:pPr>
        <w:spacing w:after="0" w:line="225" w:lineRule="exact"/>
        <w:rPr>
          <w:sz w:val="20"/>
          <w:szCs w:val="20"/>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GAS-FIFTEEN LTD. </w:t>
      </w:r>
      <w:r>
        <w:rPr>
          <w:rFonts w:ascii="Arial" w:cs="Arial" w:eastAsia="Arial" w:hAnsi="Arial"/>
          <w:sz w:val="18"/>
          <w:szCs w:val="18"/>
          <w:color w:val="auto"/>
        </w:rPr>
        <w:t>as borrower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GASLOG CARRIERS LTD. </w:t>
      </w:r>
      <w:r>
        <w:rPr>
          <w:rFonts w:ascii="Arial" w:cs="Arial" w:eastAsia="Arial" w:hAnsi="Arial"/>
          <w:sz w:val="18"/>
          <w:szCs w:val="18"/>
          <w:color w:val="auto"/>
        </w:rPr>
        <w:t>(</w:t>
      </w:r>
      <w:r>
        <w:rPr>
          <w:rFonts w:ascii="Arial" w:cs="Arial" w:eastAsia="Arial" w:hAnsi="Arial"/>
          <w:sz w:val="18"/>
          <w:szCs w:val="18"/>
          <w:b w:val="1"/>
          <w:bCs w:val="1"/>
          <w:color w:val="auto"/>
        </w:rPr>
        <w:t>GasLog Carriers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NATIONAL BANK OF GREECE S.A. </w:t>
      </w:r>
      <w:r>
        <w:rPr>
          <w:rFonts w:ascii="Arial" w:cs="Arial" w:eastAsia="Arial" w:hAnsi="Arial"/>
          <w:sz w:val="18"/>
          <w:szCs w:val="18"/>
          <w:color w:val="auto"/>
        </w:rPr>
        <w:t>as mandated lead arranger (the</w:t>
      </w:r>
      <w:r>
        <w:rPr>
          <w:rFonts w:ascii="Arial" w:cs="Arial" w:eastAsia="Arial" w:hAnsi="Arial"/>
          <w:sz w:val="18"/>
          <w:szCs w:val="18"/>
          <w:b w:val="1"/>
          <w:bCs w:val="1"/>
          <w:color w:val="auto"/>
        </w:rPr>
        <w:t xml:space="preserve"> Arranger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hedging providers (the</w:t>
      </w:r>
      <w:r>
        <w:rPr>
          <w:rFonts w:ascii="Arial" w:cs="Arial" w:eastAsia="Arial" w:hAnsi="Arial"/>
          <w:sz w:val="18"/>
          <w:szCs w:val="18"/>
          <w:b w:val="1"/>
          <w:bCs w:val="1"/>
          <w:color w:val="auto"/>
        </w:rPr>
        <w:t xml:space="preserve"> Hedging Providers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NATIONAL BANK OF GREECE S.A.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5"/>
        </w:numPr>
        <w:rPr>
          <w:rFonts w:ascii="Arial" w:cs="Arial" w:eastAsia="Arial" w:hAnsi="Arial"/>
          <w:sz w:val="17"/>
          <w:szCs w:val="17"/>
          <w:color w:val="auto"/>
        </w:rPr>
      </w:pPr>
      <w:r>
        <w:rPr>
          <w:rFonts w:ascii="Arial" w:cs="Arial" w:eastAsia="Arial" w:hAnsi="Arial"/>
          <w:sz w:val="17"/>
          <w:szCs w:val="17"/>
          <w:b w:val="1"/>
          <w:bCs w:val="1"/>
          <w:color w:val="auto"/>
        </w:rPr>
        <w:t xml:space="preserve">NATIONAL BANK OF GREECE S.A. </w:t>
      </w:r>
      <w:r>
        <w:rPr>
          <w:rFonts w:ascii="Arial" w:cs="Arial" w:eastAsia="Arial" w:hAnsi="Arial"/>
          <w:sz w:val="17"/>
          <w:szCs w:val="17"/>
          <w:color w:val="auto"/>
        </w:rPr>
        <w:t>as security agent and trustee for and on behalf of the other Finance Parties (the</w:t>
      </w:r>
      <w:r>
        <w:rPr>
          <w:rFonts w:ascii="Arial" w:cs="Arial" w:eastAsia="Arial" w:hAnsi="Arial"/>
          <w:sz w:val="17"/>
          <w:szCs w:val="17"/>
          <w:b w:val="1"/>
          <w:bCs w:val="1"/>
          <w:color w:val="auto"/>
        </w:rPr>
        <w:t xml:space="preserve"> Security Agent</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ectPr>
          <w:pgSz w:w="11900" w:h="16838" w:orient="portrait"/>
          <w:cols w:equalWidth="0" w:num="1">
            <w:col w:w="11240"/>
          </w:cols>
          <w:pgMar w:left="320" w:top="341" w:right="339" w:bottom="0" w:gutter="0" w:footer="0" w:header="0"/>
        </w:sectPr>
      </w:pPr>
    </w:p>
    <w:bookmarkStart w:id="255" w:name="page256"/>
    <w:bookmarkEnd w:id="255"/>
    <w:p>
      <w:pPr>
        <w:ind w:left="8" w:right="8400" w:hanging="8"/>
        <w:spacing w:after="0" w:line="503" w:lineRule="auto"/>
        <w:tabs>
          <w:tab w:leader="none" w:pos="409"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408" w:right="244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1" w:lineRule="exact"/>
        <w:rPr>
          <w:rFonts w:ascii="Arial" w:cs="Arial" w:eastAsia="Arial" w:hAnsi="Arial"/>
          <w:sz w:val="18"/>
          <w:szCs w:val="18"/>
          <w:b w:val="1"/>
          <w:bCs w:val="1"/>
          <w:color w:val="auto"/>
        </w:rPr>
      </w:pPr>
    </w:p>
    <w:p>
      <w:pPr>
        <w:jc w:val="both"/>
        <w:ind w:left="908" w:right="160" w:hanging="512"/>
        <w:spacing w:after="0" w:line="263" w:lineRule="auto"/>
        <w:tabs>
          <w:tab w:leader="none" w:pos="91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 or higher by Standard &amp; Poor’s Rating Services or Fitch Ratings Ltd or “Baa1” or higher by Moody’s Investor Services Limited or a comparable rating from another internationally recognised credit rating agency; or</w:t>
      </w:r>
    </w:p>
    <w:p>
      <w:pPr>
        <w:spacing w:after="0" w:line="183" w:lineRule="exact"/>
        <w:rPr>
          <w:rFonts w:ascii="Arial" w:cs="Arial" w:eastAsia="Arial" w:hAnsi="Arial"/>
          <w:sz w:val="18"/>
          <w:szCs w:val="18"/>
          <w:color w:val="auto"/>
        </w:rPr>
      </w:pPr>
    </w:p>
    <w:p>
      <w:pPr>
        <w:ind w:left="928" w:hanging="532"/>
        <w:spacing w:after="0"/>
        <w:tabs>
          <w:tab w:leader="none" w:pos="92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w:t>
      </w:r>
    </w:p>
    <w:p>
      <w:pPr>
        <w:spacing w:after="0" w:line="225" w:lineRule="exact"/>
        <w:rPr>
          <w:sz w:val="20"/>
          <w:szCs w:val="20"/>
          <w:color w:val="auto"/>
        </w:rPr>
      </w:pPr>
    </w:p>
    <w:p>
      <w:pPr>
        <w:ind w:left="408"/>
        <w:spacing w:after="0"/>
        <w:rPr>
          <w:sz w:val="20"/>
          <w:szCs w:val="20"/>
          <w:color w:val="auto"/>
        </w:rPr>
      </w:pPr>
      <w:r>
        <w:rPr>
          <w:rFonts w:ascii="Arial" w:cs="Arial" w:eastAsia="Arial" w:hAnsi="Arial"/>
          <w:sz w:val="18"/>
          <w:szCs w:val="18"/>
          <w:color w:val="auto"/>
        </w:rPr>
        <w:t>and which is approved by the Borrower.</w:t>
      </w:r>
    </w:p>
    <w:p>
      <w:pPr>
        <w:spacing w:after="0" w:line="221" w:lineRule="exact"/>
        <w:rPr>
          <w:sz w:val="20"/>
          <w:szCs w:val="20"/>
          <w:color w:val="auto"/>
        </w:rPr>
      </w:pPr>
    </w:p>
    <w:p>
      <w:pPr>
        <w:ind w:left="408"/>
        <w:spacing w:after="0"/>
        <w:rPr>
          <w:sz w:val="20"/>
          <w:szCs w:val="20"/>
          <w:color w:val="auto"/>
        </w:rPr>
      </w:pPr>
      <w:r>
        <w:rPr>
          <w:rFonts w:ascii="Arial" w:cs="Arial" w:eastAsia="Arial" w:hAnsi="Arial"/>
          <w:sz w:val="16"/>
          <w:szCs w:val="16"/>
          <w:b w:val="1"/>
          <w:bCs w:val="1"/>
          <w:color w:val="auto"/>
        </w:rPr>
        <w:t xml:space="preserve">Account </w:t>
      </w:r>
      <w:r>
        <w:rPr>
          <w:rFonts w:ascii="Arial" w:cs="Arial" w:eastAsia="Arial" w:hAnsi="Arial"/>
          <w:sz w:val="16"/>
          <w:szCs w:val="16"/>
          <w:color w:val="auto"/>
        </w:rPr>
        <w:t>means any bank account, deposit or certificate of deposit opened, made or established in accordance with clause 27 (</w:t>
      </w:r>
      <w:r>
        <w:rPr>
          <w:rFonts w:ascii="Arial" w:cs="Arial" w:eastAsia="Arial" w:hAnsi="Arial"/>
          <w:sz w:val="16"/>
          <w:szCs w:val="16"/>
          <w:i w:val="1"/>
          <w:iCs w:val="1"/>
          <w:color w:val="auto"/>
        </w:rPr>
        <w:t>Bank accounts</w:t>
      </w:r>
      <w:r>
        <w:rPr>
          <w:rFonts w:ascii="Arial" w:cs="Arial" w:eastAsia="Arial" w:hAnsi="Arial"/>
          <w:sz w:val="16"/>
          <w:szCs w:val="16"/>
          <w:color w:val="auto"/>
        </w:rPr>
        <w:t>).</w:t>
      </w:r>
    </w:p>
    <w:p>
      <w:pPr>
        <w:spacing w:after="0" w:line="248" w:lineRule="exact"/>
        <w:rPr>
          <w:sz w:val="20"/>
          <w:szCs w:val="20"/>
          <w:color w:val="auto"/>
        </w:rPr>
      </w:pPr>
    </w:p>
    <w:p>
      <w:pPr>
        <w:ind w:left="408" w:right="120"/>
        <w:spacing w:after="0" w:line="347" w:lineRule="auto"/>
        <w:rPr>
          <w:sz w:val="20"/>
          <w:szCs w:val="20"/>
          <w:color w:val="auto"/>
        </w:rPr>
      </w:pPr>
      <w:r>
        <w:rPr>
          <w:rFonts w:ascii="Arial" w:cs="Arial" w:eastAsia="Arial" w:hAnsi="Arial"/>
          <w:sz w:val="16"/>
          <w:szCs w:val="16"/>
          <w:b w:val="1"/>
          <w:bCs w:val="1"/>
          <w:color w:val="auto"/>
        </w:rPr>
        <w:t xml:space="preserve">Account Bank </w:t>
      </w:r>
      <w:r>
        <w:rPr>
          <w:rFonts w:ascii="Arial" w:cs="Arial" w:eastAsia="Arial" w:hAnsi="Arial"/>
          <w:sz w:val="16"/>
          <w:szCs w:val="16"/>
          <w:color w:val="auto"/>
        </w:rPr>
        <w:t>means, in relation to any Account, National Bank of Greece S.A., Shipping Branch (or any other branch of the same or an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as required by the Agent) or another bank or financial institution approved by the Majority Lenders at the request of the Borrower.</w:t>
      </w:r>
    </w:p>
    <w:p>
      <w:pPr>
        <w:spacing w:after="0" w:line="116" w:lineRule="exact"/>
        <w:rPr>
          <w:sz w:val="20"/>
          <w:szCs w:val="20"/>
          <w:color w:val="auto"/>
        </w:rPr>
      </w:pPr>
    </w:p>
    <w:p>
      <w:pPr>
        <w:ind w:left="408"/>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25" w:lineRule="exact"/>
        <w:rPr>
          <w:sz w:val="20"/>
          <w:szCs w:val="20"/>
          <w:color w:val="auto"/>
        </w:rPr>
      </w:pPr>
    </w:p>
    <w:p>
      <w:pPr>
        <w:ind w:left="408"/>
        <w:spacing w:after="0" w:line="282"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and/or any other Finance Parties in an agreed form conferring a Security Interest over that Account.</w:t>
      </w:r>
    </w:p>
    <w:p>
      <w:pPr>
        <w:spacing w:after="0" w:line="162" w:lineRule="exact"/>
        <w:rPr>
          <w:sz w:val="20"/>
          <w:szCs w:val="20"/>
          <w:color w:val="auto"/>
        </w:rPr>
      </w:pPr>
    </w:p>
    <w:p>
      <w:pPr>
        <w:ind w:left="408"/>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22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8"/>
          </w:cols>
          <w:pgMar w:left="432" w:top="337" w:right="379" w:bottom="1440" w:gutter="0" w:footer="0" w:header="0"/>
        </w:sectPr>
      </w:pPr>
    </w:p>
    <w:bookmarkStart w:id="256" w:name="page257"/>
    <w:bookmarkEnd w:id="256"/>
    <w:p>
      <w:pPr>
        <w:ind w:left="2" w:right="10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 that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2" w:right="120"/>
        <w:spacing w:after="0" w:line="282"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2" w:right="80"/>
        <w:spacing w:after="0" w:line="261"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Group, Braemar ACM Shipbroking, Fearnleys AS, Simpson, Spence &amp;</w:t>
      </w:r>
      <w:r>
        <w:rPr>
          <w:rFonts w:ascii="Arial" w:cs="Arial" w:eastAsia="Arial" w:hAnsi="Arial"/>
          <w:sz w:val="18"/>
          <w:szCs w:val="18"/>
          <w:b w:val="1"/>
          <w:bCs w:val="1"/>
          <w:color w:val="auto"/>
        </w:rPr>
        <w:t xml:space="preserve"> </w:t>
      </w:r>
      <w:r>
        <w:rPr>
          <w:rFonts w:ascii="Arial" w:cs="Arial" w:eastAsia="Arial" w:hAnsi="Arial"/>
          <w:sz w:val="18"/>
          <w:szCs w:val="18"/>
          <w:color w:val="auto"/>
        </w:rPr>
        <w:t>Young Ltd, Poten &amp; Partners (London) or any other independent firm of shipbrokers agreed in writing from time to time between the Borrower and the Agent (acting on the instructions of the Majority Lenders), unless any such person is a or becomes a Prohibited Person or otherwise is in breach of Sanctions.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reputable stock exchange acceptable to the Majority Lenders.</w:t>
      </w:r>
    </w:p>
    <w:p>
      <w:pPr>
        <w:spacing w:after="0" w:line="225" w:lineRule="exact"/>
        <w:rPr>
          <w:sz w:val="20"/>
          <w:szCs w:val="20"/>
          <w:color w:val="auto"/>
        </w:rPr>
      </w:pPr>
    </w:p>
    <w:p>
      <w:pPr>
        <w:ind w:left="2" w:right="220"/>
        <w:spacing w:after="0" w:line="282"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Cyprus, Greece, Malta, Hong Kong, Marshall Islands, Panama, Singapore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 or any other flag acceptable to the Lenders.</w:t>
      </w:r>
    </w:p>
    <w:p>
      <w:pPr>
        <w:spacing w:after="0" w:line="162" w:lineRule="exact"/>
        <w:rPr>
          <w:sz w:val="20"/>
          <w:szCs w:val="20"/>
          <w:color w:val="auto"/>
        </w:rPr>
      </w:pPr>
    </w:p>
    <w:p>
      <w:pPr>
        <w:jc w:val="both"/>
        <w:ind w:left="2" w:right="120"/>
        <w:spacing w:after="0" w:line="266" w:lineRule="auto"/>
        <w:rPr>
          <w:sz w:val="20"/>
          <w:szCs w:val="20"/>
          <w:color w:val="auto"/>
        </w:rPr>
      </w:pPr>
      <w:r>
        <w:rPr>
          <w:rFonts w:ascii="Arial" w:cs="Arial" w:eastAsia="Arial" w:hAnsi="Arial"/>
          <w:sz w:val="18"/>
          <w:szCs w:val="18"/>
          <w:b w:val="1"/>
          <w:bCs w:val="1"/>
          <w:color w:val="auto"/>
        </w:rPr>
        <w:t xml:space="preserve">Approved Technical Managers </w:t>
      </w:r>
      <w:r>
        <w:rPr>
          <w:rFonts w:ascii="Arial" w:cs="Arial" w:eastAsia="Arial" w:hAnsi="Arial"/>
          <w:sz w:val="18"/>
          <w:szCs w:val="18"/>
          <w:color w:val="auto"/>
        </w:rPr>
        <w:t>means each of the Parent, any wholly-owned subsidiary of the Parent or any other independent technical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set out in a list to be agreed between the Borrower and the Agent by the Utilisation Date or as otherwise agreed in writing from time to time between the Borrower and the Agent (acting on the instructions of the Majority Lenders).</w:t>
      </w:r>
    </w:p>
    <w:p>
      <w:pPr>
        <w:spacing w:after="0" w:line="176" w:lineRule="exact"/>
        <w:rPr>
          <w:sz w:val="20"/>
          <w:szCs w:val="20"/>
          <w:color w:val="auto"/>
        </w:rPr>
      </w:pPr>
    </w:p>
    <w:p>
      <w:pPr>
        <w:ind w:left="2" w:right="160"/>
        <w:spacing w:after="0" w:line="303" w:lineRule="auto"/>
        <w:rPr>
          <w:sz w:val="20"/>
          <w:szCs w:val="20"/>
          <w:color w:val="auto"/>
        </w:rPr>
      </w:pPr>
      <w:r>
        <w:rPr>
          <w:rFonts w:ascii="Arial" w:cs="Arial" w:eastAsia="Arial" w:hAnsi="Arial"/>
          <w:sz w:val="16"/>
          <w:szCs w:val="16"/>
          <w:b w:val="1"/>
          <w:bCs w:val="1"/>
          <w:color w:val="auto"/>
        </w:rPr>
        <w:t xml:space="preserve">Auditors </w:t>
      </w:r>
      <w:r>
        <w:rPr>
          <w:rFonts w:ascii="Arial" w:cs="Arial" w:eastAsia="Arial" w:hAnsi="Arial"/>
          <w:sz w:val="16"/>
          <w:szCs w:val="16"/>
          <w:color w:val="auto"/>
        </w:rPr>
        <w:t>means one of PricewaterhouseCoopers, Ernst &amp; Young, KPMG or Deloitte &amp; Touche or another firm proposed by the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51" w:lineRule="exact"/>
        <w:rPr>
          <w:sz w:val="20"/>
          <w:szCs w:val="20"/>
          <w:color w:val="auto"/>
        </w:rPr>
      </w:pPr>
    </w:p>
    <w:p>
      <w:pPr>
        <w:ind w:left="2" w:right="220"/>
        <w:spacing w:after="0" w:line="266"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(drawn and undrawn) which is available for borrowing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Commitments is not cancelled or reduced under this Agreement.</w:t>
      </w:r>
    </w:p>
    <w:p>
      <w:pPr>
        <w:spacing w:after="0" w:line="176" w:lineRule="exact"/>
        <w:rPr>
          <w:sz w:val="20"/>
          <w:szCs w:val="20"/>
          <w:color w:val="auto"/>
        </w:rPr>
      </w:pPr>
    </w:p>
    <w:p>
      <w:pPr>
        <w:ind w:left="2" w:right="180"/>
        <w:spacing w:after="0" w:line="266"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Basel Committee on Banking Supervision in June 2004 as updated prior to, and in the form existing on, the date of this Agreement, excluding any amendment thereto arising out of the Basel III Accord or Reformed Basel III.</w:t>
      </w:r>
    </w:p>
    <w:p>
      <w:pPr>
        <w:spacing w:after="0" w:line="176"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 Approach (each</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Basel II Regulations applicable to such Finance Party) adopted by that Finance Party (or any of its Affiliates) for the purposes of implementing or complying with the Basel II Accord.</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263" w:lineRule="auto"/>
        <w:tabs>
          <w:tab w:leader="none" w:pos="50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183" w:lineRule="exact"/>
        <w:rPr>
          <w:rFonts w:ascii="Arial" w:cs="Arial" w:eastAsia="Arial" w:hAnsi="Arial"/>
          <w:sz w:val="18"/>
          <w:szCs w:val="18"/>
          <w:color w:val="auto"/>
        </w:rPr>
      </w:pPr>
    </w:p>
    <w:p>
      <w:pPr>
        <w:ind w:left="522" w:hanging="522"/>
        <w:spacing w:after="0"/>
        <w:tabs>
          <w:tab w:leader="none" w:pos="52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225"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37" w:right="359" w:bottom="1440" w:gutter="0" w:footer="0" w:header="0"/>
        </w:sectPr>
      </w:pPr>
    </w:p>
    <w:bookmarkStart w:id="257" w:name="page258"/>
    <w:bookmarkEnd w:id="257"/>
    <w:p>
      <w:pPr>
        <w:ind w:left="20"/>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29" w:lineRule="exact"/>
        <w:rPr>
          <w:sz w:val="20"/>
          <w:szCs w:val="20"/>
          <w:color w:val="auto"/>
        </w:rPr>
      </w:pPr>
    </w:p>
    <w:p>
      <w:pPr>
        <w:ind w:left="520" w:hanging="507"/>
        <w:spacing w:after="0"/>
        <w:tabs>
          <w:tab w:leader="none" w:pos="5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 for</w:t>
      </w:r>
    </w:p>
    <w:p>
      <w:pPr>
        <w:spacing w:after="0" w:line="46" w:lineRule="exact"/>
        <w:rPr>
          <w:rFonts w:ascii="Arial" w:cs="Arial" w:eastAsia="Arial" w:hAnsi="Arial"/>
          <w:sz w:val="16"/>
          <w:szCs w:val="16"/>
          <w:color w:val="auto"/>
        </w:rPr>
      </w:pPr>
    </w:p>
    <w:p>
      <w:pPr>
        <w:ind w:left="520" w:right="240"/>
        <w:spacing w:after="0" w:line="255" w:lineRule="auto"/>
        <w:rPr>
          <w:rFonts w:ascii="Arial" w:cs="Arial" w:eastAsia="Arial" w:hAnsi="Arial"/>
          <w:sz w:val="16"/>
          <w:szCs w:val="16"/>
          <w:color w:val="auto"/>
        </w:rPr>
      </w:pPr>
      <w:r>
        <w:rPr>
          <w:rFonts w:ascii="Arial" w:cs="Arial" w:eastAsia="Arial" w:hAnsi="Arial"/>
          <w:sz w:val="18"/>
          <w:szCs w:val="18"/>
          <w:color w:val="auto"/>
        </w:rPr>
        <w:t>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9" w:lineRule="exact"/>
        <w:rPr>
          <w:rFonts w:ascii="Arial" w:cs="Arial" w:eastAsia="Arial" w:hAnsi="Arial"/>
          <w:sz w:val="16"/>
          <w:szCs w:val="16"/>
          <w:color w:val="auto"/>
        </w:rPr>
      </w:pPr>
    </w:p>
    <w:p>
      <w:pPr>
        <w:jc w:val="both"/>
        <w:ind w:left="520" w:right="480" w:hanging="507"/>
        <w:spacing w:after="0" w:line="263" w:lineRule="auto"/>
        <w:tabs>
          <w:tab w:leader="none" w:pos="53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3" w:lineRule="exact"/>
        <w:rPr>
          <w:rFonts w:ascii="Arial" w:cs="Arial" w:eastAsia="Arial" w:hAnsi="Arial"/>
          <w:sz w:val="18"/>
          <w:szCs w:val="18"/>
          <w:color w:val="auto"/>
        </w:rPr>
      </w:pPr>
    </w:p>
    <w:p>
      <w:pPr>
        <w:ind w:left="540" w:hanging="527"/>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than, in each such case, the agreements, rules, guidance and standards set out in Reformed Basel III as amended, supplemented or restated.</w:t>
      </w:r>
    </w:p>
    <w:p>
      <w:pPr>
        <w:spacing w:after="0" w:line="244" w:lineRule="exact"/>
        <w:rPr>
          <w:sz w:val="20"/>
          <w:szCs w:val="20"/>
          <w:color w:val="auto"/>
        </w:rPr>
      </w:pPr>
    </w:p>
    <w:p>
      <w:pPr>
        <w:ind w:left="20" w:right="240"/>
        <w:spacing w:after="0" w:line="347" w:lineRule="auto"/>
        <w:rPr>
          <w:sz w:val="20"/>
          <w:szCs w:val="20"/>
          <w:color w:val="auto"/>
        </w:rPr>
      </w:pPr>
      <w:r>
        <w:rPr>
          <w:rFonts w:ascii="Arial" w:cs="Arial" w:eastAsia="Arial" w:hAnsi="Arial"/>
          <w:sz w:val="16"/>
          <w:szCs w:val="16"/>
          <w:b w:val="1"/>
          <w:bCs w:val="1"/>
          <w:color w:val="auto"/>
        </w:rPr>
        <w:t xml:space="preserve">Basel III Increased Cost </w:t>
      </w:r>
      <w:r>
        <w:rPr>
          <w:rFonts w:ascii="Arial" w:cs="Arial" w:eastAsia="Arial" w:hAnsi="Arial"/>
          <w:sz w:val="16"/>
          <w:szCs w:val="16"/>
          <w:color w:val="auto"/>
        </w:rPr>
        <w:t>means an Increased Cost which is attributable to the implementation or application of or compliance with any Basel III</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(whether such implementation, application or compliance is by a government, regulator, Finance Party or any of its Affiliates).</w:t>
      </w:r>
    </w:p>
    <w:p>
      <w:pPr>
        <w:spacing w:after="0" w:line="116" w:lineRule="exact"/>
        <w:rPr>
          <w:sz w:val="20"/>
          <w:szCs w:val="20"/>
          <w:color w:val="auto"/>
        </w:rPr>
      </w:pPr>
    </w:p>
    <w:p>
      <w:pPr>
        <w:jc w:val="both"/>
        <w:ind w:left="20" w:right="60"/>
        <w:spacing w:after="0" w:line="266"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 CRR) save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the extent that such law or regulation re-enacts a Basel II Regulation and excluding any such law or regulation which implements Reformed Basel III.</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9" w:lineRule="exact"/>
        <w:rPr>
          <w:sz w:val="20"/>
          <w:szCs w:val="20"/>
          <w:color w:val="auto"/>
        </w:rPr>
      </w:pPr>
    </w:p>
    <w:p>
      <w:pPr>
        <w:ind w:left="520" w:right="60" w:hanging="502"/>
        <w:spacing w:after="0" w:line="263"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the Loan or Unpaid Sum to the last day of the current Interest Period in respect of the Loan or Unpaid Sum, had the principal amount or Unpaid Sum received been paid on the last day of that Interest Period;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exceeds:</w:t>
      </w:r>
    </w:p>
    <w:p>
      <w:pPr>
        <w:spacing w:after="0" w:line="225" w:lineRule="exact"/>
        <w:rPr>
          <w:sz w:val="20"/>
          <w:szCs w:val="20"/>
          <w:color w:val="auto"/>
        </w:rPr>
      </w:pPr>
    </w:p>
    <w:p>
      <w:pPr>
        <w:ind w:left="520" w:hanging="502"/>
        <w:spacing w:after="0" w:line="263" w:lineRule="auto"/>
        <w:tabs>
          <w:tab w:leader="none" w:pos="53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80" w:lineRule="exact"/>
        <w:rPr>
          <w:sz w:val="20"/>
          <w:szCs w:val="20"/>
          <w:color w:val="auto"/>
        </w:rPr>
      </w:pPr>
    </w:p>
    <w:p>
      <w:pPr>
        <w:ind w:left="20" w:right="40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Athens, Piraeus and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any date for payment or purchase of dollars) New York.</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9" w:lineRule="exact"/>
        <w:rPr>
          <w:sz w:val="20"/>
          <w:szCs w:val="20"/>
          <w:color w:val="auto"/>
        </w:rPr>
      </w:pPr>
    </w:p>
    <w:p>
      <w:pPr>
        <w:ind w:left="520" w:right="340" w:hanging="512"/>
        <w:spacing w:after="0" w:line="342" w:lineRule="auto"/>
        <w:tabs>
          <w:tab w:leader="none" w:pos="52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person or persons acting in concert (other than the Permitted Holders or any of them), have or acquire the right or the ability to control, either directly or indirectly, the affairs or composition of the majority of the board of directors (or equivalent) of the Parent; or</w:t>
      </w:r>
    </w:p>
    <w:p>
      <w:pPr>
        <w:spacing w:after="0" w:line="123" w:lineRule="exact"/>
        <w:rPr>
          <w:rFonts w:ascii="Arial" w:cs="Arial" w:eastAsia="Arial" w:hAnsi="Arial"/>
          <w:sz w:val="16"/>
          <w:szCs w:val="16"/>
          <w:color w:val="auto"/>
        </w:rPr>
      </w:pPr>
    </w:p>
    <w:p>
      <w:pPr>
        <w:ind w:left="520" w:right="460" w:hanging="502"/>
        <w:spacing w:after="0" w:line="277" w:lineRule="auto"/>
        <w:tabs>
          <w:tab w:leader="none" w:pos="53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the Holding Company of the Borrower or of GasLog Carriers; or</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820" w:top="337" w:right="359" w:bottom="1440" w:gutter="0" w:footer="0" w:header="0"/>
        </w:sectPr>
      </w:pPr>
    </w:p>
    <w:bookmarkStart w:id="258" w:name="page259"/>
    <w:bookmarkEnd w:id="258"/>
    <w:p>
      <w:pPr>
        <w:ind w:left="540" w:hanging="52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GasLog Carriers ceases to control, directly or indirectly, the Borrower; or</w:t>
      </w:r>
    </w:p>
    <w:p>
      <w:pPr>
        <w:spacing w:after="0" w:line="225" w:lineRule="exact"/>
        <w:rPr>
          <w:rFonts w:ascii="Arial" w:cs="Arial" w:eastAsia="Arial" w:hAnsi="Arial"/>
          <w:sz w:val="18"/>
          <w:szCs w:val="18"/>
          <w:color w:val="auto"/>
        </w:rPr>
      </w:pPr>
    </w:p>
    <w:p>
      <w:pPr>
        <w:ind w:left="520" w:right="420" w:hanging="502"/>
        <w:spacing w:after="0" w:line="277" w:lineRule="auto"/>
        <w:tabs>
          <w:tab w:leader="none" w:pos="53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the Borrower cease to be legally and beneficially owned by the Parent or GasLog Carriers; 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GasLog Carriers ceases to be a wholly-owned subsidiary of the 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on the instructions of the Majority Lenders).</w:t>
      </w:r>
    </w:p>
    <w:p>
      <w:pPr>
        <w:spacing w:after="0" w:line="221" w:lineRule="exact"/>
        <w:rPr>
          <w:sz w:val="20"/>
          <w:szCs w:val="20"/>
          <w:color w:val="auto"/>
        </w:rPr>
      </w:pPr>
    </w:p>
    <w:p>
      <w:pPr>
        <w:ind w:left="20" w:right="640"/>
        <w:spacing w:after="0" w:line="282"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Documents.</w:t>
      </w:r>
    </w:p>
    <w:p>
      <w:pPr>
        <w:spacing w:after="0" w:line="162" w:lineRule="exact"/>
        <w:rPr>
          <w:sz w:val="20"/>
          <w:szCs w:val="20"/>
          <w:color w:val="auto"/>
        </w:rPr>
      </w:pPr>
    </w:p>
    <w:p>
      <w:pPr>
        <w:ind w:left="20" w:right="600"/>
        <w:spacing w:after="0" w:line="282"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any charter commitment for the Ship which is capable of lasting 12 months or longer and it also includes an Eligible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20" w:right="320"/>
        <w:spacing w:after="0" w:line="282"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Charter and any other relevant Charter Documents, an assignment by the Borrower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Charter Documents in favour of the Security Agent in the agreed form.</w:t>
      </w:r>
    </w:p>
    <w:p>
      <w:pPr>
        <w:spacing w:after="0" w:line="162"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in relation to a Charter of the Ship, any documents supplementing it and any guarantee or security given by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Borrower for the relevant Charterer’s obligations under it.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in relation to a Charter or Eligible Charter, the charterer or other counterparty of the Borrower thereunder.</w:t>
      </w:r>
    </w:p>
    <w:p>
      <w:pPr>
        <w:spacing w:after="0" w:line="225" w:lineRule="exact"/>
        <w:rPr>
          <w:sz w:val="20"/>
          <w:szCs w:val="20"/>
          <w:color w:val="auto"/>
        </w:rPr>
      </w:pPr>
    </w:p>
    <w:p>
      <w:pPr>
        <w:jc w:val="both"/>
        <w:ind w:left="20" w:right="180"/>
        <w:spacing w:after="0" w:line="266"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the classification specified in respect of the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 the relevant Classification Society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classification approved by the Majority Lenders as its classification (such approval not to be unreasonably withheld), at the request of the Borrower.</w:t>
      </w:r>
    </w:p>
    <w:p>
      <w:pPr>
        <w:spacing w:after="0" w:line="176" w:lineRule="exact"/>
        <w:rPr>
          <w:sz w:val="20"/>
          <w:szCs w:val="20"/>
          <w:color w:val="auto"/>
        </w:rPr>
      </w:pPr>
    </w:p>
    <w:p>
      <w:pPr>
        <w:ind w:left="20"/>
        <w:spacing w:after="0" w:line="303" w:lineRule="auto"/>
        <w:rPr>
          <w:sz w:val="20"/>
          <w:szCs w:val="20"/>
          <w:color w:val="auto"/>
        </w:rPr>
      </w:pPr>
      <w:r>
        <w:rPr>
          <w:rFonts w:ascii="Arial" w:cs="Arial" w:eastAsia="Arial" w:hAnsi="Arial"/>
          <w:sz w:val="16"/>
          <w:szCs w:val="16"/>
          <w:b w:val="1"/>
          <w:bCs w:val="1"/>
          <w:color w:val="auto"/>
        </w:rPr>
        <w:t xml:space="preserve">Classification Society </w:t>
      </w:r>
      <w:r>
        <w:rPr>
          <w:rFonts w:ascii="Arial" w:cs="Arial" w:eastAsia="Arial" w:hAnsi="Arial"/>
          <w:sz w:val="16"/>
          <w:szCs w:val="16"/>
          <w:color w:val="auto"/>
        </w:rPr>
        <w:t>means, in relation to the Ship, the classification society specified in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DNV GL, American</w:t>
      </w:r>
      <w:r>
        <w:rPr>
          <w:rFonts w:ascii="Arial" w:cs="Arial" w:eastAsia="Arial" w:hAnsi="Arial"/>
          <w:sz w:val="16"/>
          <w:szCs w:val="16"/>
          <w:b w:val="1"/>
          <w:bCs w:val="1"/>
          <w:color w:val="auto"/>
        </w:rPr>
        <w:t xml:space="preserve"> </w:t>
      </w:r>
      <w:r>
        <w:rPr>
          <w:rFonts w:ascii="Arial" w:cs="Arial" w:eastAsia="Arial" w:hAnsi="Arial"/>
          <w:sz w:val="16"/>
          <w:szCs w:val="16"/>
          <w:color w:val="auto"/>
        </w:rPr>
        <w:t>Bureau of Shipping, Lloyd’s Register of Shipping and Korean Register or another classification society which is a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Borrower.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25" w:lineRule="exact"/>
        <w:rPr>
          <w:sz w:val="20"/>
          <w:szCs w:val="20"/>
          <w:color w:val="auto"/>
        </w:rPr>
      </w:pPr>
    </w:p>
    <w:p>
      <w:pPr>
        <w:ind w:left="20" w:right="340"/>
        <w:spacing w:after="0" w:line="314" w:lineRule="auto"/>
        <w:rPr>
          <w:sz w:val="20"/>
          <w:szCs w:val="20"/>
          <w:color w:val="auto"/>
        </w:rPr>
      </w:pPr>
      <w:r>
        <w:rPr>
          <w:rFonts w:ascii="Arial" w:cs="Arial" w:eastAsia="Arial" w:hAnsi="Arial"/>
          <w:sz w:val="16"/>
          <w:szCs w:val="16"/>
          <w:b w:val="1"/>
          <w:bCs w:val="1"/>
          <w:color w:val="auto"/>
        </w:rPr>
        <w:t xml:space="preserve">Commercial Manager </w:t>
      </w:r>
      <w:r>
        <w:rPr>
          <w:rFonts w:ascii="Arial" w:cs="Arial" w:eastAsia="Arial" w:hAnsi="Arial"/>
          <w:sz w:val="16"/>
          <w:szCs w:val="16"/>
          <w:color w:val="auto"/>
        </w:rPr>
        <w:t>means any one of (a) the Parent (up to the Utilisation Date), or (b) GasLog LNG Services Ltd. of Clarendon House, 2</w:t>
      </w:r>
      <w:r>
        <w:rPr>
          <w:rFonts w:ascii="Arial" w:cs="Arial" w:eastAsia="Arial" w:hAnsi="Arial"/>
          <w:sz w:val="16"/>
          <w:szCs w:val="16"/>
          <w:b w:val="1"/>
          <w:bCs w:val="1"/>
          <w:color w:val="auto"/>
        </w:rPr>
        <w:t xml:space="preserve"> </w:t>
      </w:r>
      <w:r>
        <w:rPr>
          <w:rFonts w:ascii="Arial" w:cs="Arial" w:eastAsia="Arial" w:hAnsi="Arial"/>
          <w:sz w:val="16"/>
          <w:szCs w:val="16"/>
          <w:color w:val="auto"/>
        </w:rPr>
        <w:t>Church Street, Hamilton HM11, Bermuda (whose appointment as commercial manager of the Ship shall be effective on and from the Utilisation Date), or (c) another manager appointed as the commercial manager of the Ship by the Borrower in accordance with clause 22.3 (</w:t>
      </w:r>
      <w:r>
        <w:rPr>
          <w:rFonts w:ascii="Arial" w:cs="Arial" w:eastAsia="Arial" w:hAnsi="Arial"/>
          <w:sz w:val="16"/>
          <w:szCs w:val="16"/>
          <w:i w:val="1"/>
          <w:iCs w:val="1"/>
          <w:color w:val="auto"/>
        </w:rPr>
        <w:t>Manager</w:t>
      </w:r>
      <w:r>
        <w:rPr>
          <w:rFonts w:ascii="Arial" w:cs="Arial" w:eastAsia="Arial" w:hAnsi="Arial"/>
          <w:sz w:val="16"/>
          <w:szCs w:val="16"/>
          <w:color w:val="auto"/>
        </w:rPr>
        <w:t>).</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29" w:lineRule="exact"/>
        <w:rPr>
          <w:sz w:val="20"/>
          <w:szCs w:val="20"/>
          <w:color w:val="auto"/>
        </w:rPr>
      </w:pPr>
    </w:p>
    <w:p>
      <w:pPr>
        <w:ind w:left="520" w:right="280" w:hanging="502"/>
        <w:spacing w:after="0" w:line="277"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under its name opposite the heading “Commitment”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 the amount of any other Commitment transferred to it under this Agreement; and</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59" w:name="page260"/>
    <w:bookmarkEnd w:id="259"/>
    <w:p>
      <w:pPr>
        <w:ind w:left="20" w:right="740"/>
        <w:spacing w:after="0" w:line="282"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w:t>
      </w:r>
    </w:p>
    <w:p>
      <w:pPr>
        <w:spacing w:after="0" w:line="162" w:lineRule="exact"/>
        <w:rPr>
          <w:sz w:val="20"/>
          <w:szCs w:val="20"/>
          <w:color w:val="auto"/>
        </w:rPr>
      </w:pPr>
    </w:p>
    <w:p>
      <w:pPr>
        <w:ind w:left="20"/>
        <w:spacing w:after="0" w:line="303" w:lineRule="auto"/>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means all information relating to an Obligor, the Group, the Finance Documents, any Charter Documents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charter commitments (to the extent such information relating to such other charter commitments is confidential as a matter of law or contract) for the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55"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225" w:lineRule="exact"/>
        <w:rPr>
          <w:rFonts w:ascii="Arial" w:cs="Arial" w:eastAsia="Arial" w:hAnsi="Arial"/>
          <w:sz w:val="18"/>
          <w:szCs w:val="18"/>
          <w:color w:val="auto"/>
        </w:rPr>
      </w:pPr>
    </w:p>
    <w:p>
      <w:pPr>
        <w:ind w:left="520" w:right="420" w:hanging="512"/>
        <w:spacing w:after="0" w:line="277" w:lineRule="auto"/>
        <w:tabs>
          <w:tab w:leader="none" w:pos="53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70"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70" w:lineRule="exact"/>
        <w:rPr>
          <w:sz w:val="20"/>
          <w:szCs w:val="20"/>
          <w:color w:val="auto"/>
        </w:rPr>
      </w:pPr>
    </w:p>
    <w:p>
      <w:pPr>
        <w:ind w:left="1060" w:hanging="531"/>
        <w:spacing w:after="0"/>
        <w:tabs>
          <w:tab w:leader="none" w:pos="10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225" w:lineRule="exact"/>
        <w:rPr>
          <w:rFonts w:ascii="Arial" w:cs="Arial" w:eastAsia="Arial" w:hAnsi="Arial"/>
          <w:sz w:val="18"/>
          <w:szCs w:val="18"/>
          <w:color w:val="auto"/>
        </w:rPr>
      </w:pPr>
    </w:p>
    <w:p>
      <w:pPr>
        <w:ind w:left="1540" w:right="500" w:hanging="501"/>
        <w:spacing w:after="0" w:line="277" w:lineRule="auto"/>
        <w:tabs>
          <w:tab w:leader="none" w:pos="156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43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560" w:hanging="521"/>
        <w:spacing w:after="0"/>
        <w:tabs>
          <w:tab w:leader="none" w:pos="15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225" w:lineRule="exact"/>
        <w:rPr>
          <w:rFonts w:ascii="Arial" w:cs="Arial" w:eastAsia="Arial" w:hAnsi="Arial"/>
          <w:sz w:val="18"/>
          <w:szCs w:val="18"/>
          <w:color w:val="auto"/>
        </w:rPr>
      </w:pPr>
    </w:p>
    <w:p>
      <w:pPr>
        <w:ind w:left="1540" w:right="40" w:hanging="501"/>
        <w:spacing w:after="0" w:line="259" w:lineRule="auto"/>
        <w:tabs>
          <w:tab w:leader="none" w:pos="155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86" w:lineRule="exact"/>
        <w:rPr>
          <w:rFonts w:ascii="Arial" w:cs="Arial" w:eastAsia="Arial" w:hAnsi="Arial"/>
          <w:sz w:val="18"/>
          <w:szCs w:val="18"/>
          <w:color w:val="auto"/>
        </w:rPr>
      </w:pPr>
    </w:p>
    <w:p>
      <w:pPr>
        <w:ind w:left="1080" w:hanging="551"/>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Funding Rate.</w:t>
      </w:r>
    </w:p>
    <w:p>
      <w:pPr>
        <w:spacing w:after="0" w:line="221"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the form recommended by the Loan Market Association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form agreed between the Borrower and the Agent.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Confirmation </w:t>
      </w:r>
      <w:r>
        <w:rPr>
          <w:rFonts w:ascii="Arial" w:cs="Arial" w:eastAsia="Arial" w:hAnsi="Arial"/>
          <w:sz w:val="17"/>
          <w:szCs w:val="17"/>
          <w:color w:val="auto"/>
        </w:rPr>
        <w:t>shall have, in relation to any Hedging Transaction, the meaning given to that term in the relevant Hedging Master Agreement.</w:t>
      </w:r>
    </w:p>
    <w:p>
      <w:pPr>
        <w:spacing w:after="0" w:line="237" w:lineRule="exact"/>
        <w:rPr>
          <w:sz w:val="20"/>
          <w:szCs w:val="20"/>
          <w:color w:val="auto"/>
        </w:rPr>
      </w:pPr>
    </w:p>
    <w:p>
      <w:pPr>
        <w:ind w:left="20" w:right="20"/>
        <w:spacing w:after="0" w:line="347" w:lineRule="auto"/>
        <w:rPr>
          <w:sz w:val="20"/>
          <w:szCs w:val="20"/>
          <w:color w:val="auto"/>
        </w:rPr>
      </w:pPr>
      <w:r>
        <w:rPr>
          <w:rFonts w:ascii="Arial" w:cs="Arial" w:eastAsia="Arial" w:hAnsi="Arial"/>
          <w:sz w:val="16"/>
          <w:szCs w:val="16"/>
          <w:b w:val="1"/>
          <w:bCs w:val="1"/>
          <w:color w:val="auto"/>
        </w:rPr>
        <w:t xml:space="preserve">Constitutional Documents </w:t>
      </w:r>
      <w:r>
        <w:rPr>
          <w:rFonts w:ascii="Arial" w:cs="Arial" w:eastAsia="Arial" w:hAnsi="Arial"/>
          <w:sz w:val="16"/>
          <w:szCs w:val="16"/>
          <w:color w:val="auto"/>
        </w:rPr>
        <w:t>means, in respect of an Obligor, such Obligor’s memorandum and articles of association, by-laws or other constitutional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as referred to in any certificate relating to an Obligor delivered pursuant to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16" w:lineRule="exact"/>
        <w:rPr>
          <w:sz w:val="20"/>
          <w:szCs w:val="20"/>
          <w:color w:val="auto"/>
        </w:rPr>
      </w:pPr>
    </w:p>
    <w:p>
      <w:pPr>
        <w:ind w:left="20" w:right="360"/>
        <w:spacing w:after="0" w:line="282"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 supervision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institutions and investment firms.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9" w:lineRule="exact"/>
        <w:rPr>
          <w:sz w:val="20"/>
          <w:szCs w:val="20"/>
          <w:color w:val="auto"/>
        </w:rPr>
      </w:pPr>
    </w:p>
    <w:p>
      <w:pPr>
        <w:ind w:left="520" w:hanging="502"/>
        <w:spacing w:after="0"/>
        <w:tabs>
          <w:tab w:leader="none" w:pos="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260" w:name="page261"/>
    <w:bookmarkEnd w:id="260"/>
    <w:p>
      <w:pPr>
        <w:ind w:left="2" w:right="780" w:hanging="2"/>
        <w:spacing w:after="0" w:line="498" w:lineRule="auto"/>
        <w:tabs>
          <w:tab w:leader="none" w:pos="5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ind w:left="2" w:right="340"/>
        <w:spacing w:after="0" w:line="282"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a first deed of covenant (including a first assignment of its interest in the Ship’s Insurances, Earnings and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 respect of the Ship by the Borrower in favour of the Security Agent in the agreed form.</w:t>
      </w:r>
    </w:p>
    <w:p>
      <w:pPr>
        <w:spacing w:after="0" w:line="162" w:lineRule="exact"/>
        <w:rPr>
          <w:sz w:val="20"/>
          <w:szCs w:val="20"/>
          <w:color w:val="auto"/>
        </w:rPr>
      </w:pPr>
    </w:p>
    <w:p>
      <w:pPr>
        <w:ind w:left="2" w:right="20"/>
        <w:spacing w:after="0" w:line="282"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 the making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determination under the Finance Documents or any combination of them) be an Event of Default.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9" w:lineRule="exact"/>
        <w:rPr>
          <w:sz w:val="20"/>
          <w:szCs w:val="20"/>
          <w:color w:val="auto"/>
        </w:rPr>
      </w:pPr>
    </w:p>
    <w:p>
      <w:pPr>
        <w:ind w:left="502" w:right="300" w:hanging="502"/>
        <w:spacing w:after="0" w:line="277" w:lineRule="auto"/>
        <w:tabs>
          <w:tab w:leader="none" w:pos="50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which has failed to make its participation in the Loan available or has notified the Agent that it will not make its participation in the Loan available by the Utilisation Date of the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225" w:lineRule="exact"/>
        <w:rPr>
          <w:sz w:val="20"/>
          <w:szCs w:val="20"/>
          <w:color w:val="auto"/>
        </w:rPr>
      </w:pPr>
    </w:p>
    <w:p>
      <w:pPr>
        <w:ind w:left="1042" w:hanging="531"/>
        <w:spacing w:after="0"/>
        <w:tabs>
          <w:tab w:leader="none" w:pos="10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62" w:hanging="541"/>
        <w:spacing w:after="0"/>
        <w:tabs>
          <w:tab w:leader="none" w:pos="156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21"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9" w:lineRule="exact"/>
        <w:rPr>
          <w:sz w:val="20"/>
          <w:szCs w:val="20"/>
          <w:color w:val="auto"/>
        </w:rPr>
      </w:pPr>
    </w:p>
    <w:p>
      <w:pPr>
        <w:ind w:left="502" w:hanging="502"/>
        <w:spacing w:after="0"/>
        <w:tabs>
          <w:tab w:leader="none" w:pos="50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Total Loss of the Ship, the applicable Total Loss Repayment Date; or</w:t>
      </w:r>
    </w:p>
    <w:p>
      <w:pPr>
        <w:spacing w:after="0" w:line="225" w:lineRule="exact"/>
        <w:rPr>
          <w:rFonts w:ascii="Arial" w:cs="Arial" w:eastAsia="Arial" w:hAnsi="Arial"/>
          <w:sz w:val="18"/>
          <w:szCs w:val="18"/>
          <w:color w:val="auto"/>
        </w:rPr>
      </w:pPr>
    </w:p>
    <w:p>
      <w:pPr>
        <w:ind w:left="502" w:right="560" w:hanging="502"/>
        <w:spacing w:after="0" w:line="277" w:lineRule="auto"/>
        <w:tabs>
          <w:tab w:leader="none" w:pos="5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sale of the Ship by the Borrower, the date upon which such sale is completed by the transfer of title to the purchaser in exchange for payment of all or part of the relevant purchase price (and upon or immediately prior to such completion).</w:t>
      </w:r>
    </w:p>
    <w:p>
      <w:pPr>
        <w:spacing w:after="0" w:line="166" w:lineRule="exact"/>
        <w:rPr>
          <w:sz w:val="20"/>
          <w:szCs w:val="20"/>
          <w:color w:val="auto"/>
        </w:rPr>
      </w:pPr>
    </w:p>
    <w:p>
      <w:pPr>
        <w:ind w:left="2"/>
        <w:spacing w:after="0" w:line="258"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the Ship and a person, all money at any time payable to that person for or in relation to the use or operation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 including (without limitation) freight, hire and passage moneys, money payable to that person for the provision of services by or from the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83" w:lineRule="exact"/>
        <w:rPr>
          <w:sz w:val="20"/>
          <w:szCs w:val="20"/>
          <w:color w:val="auto"/>
        </w:rPr>
      </w:pPr>
    </w:p>
    <w:p>
      <w:pPr>
        <w:ind w:left="2" w:right="240"/>
        <w:spacing w:after="0" w:line="282"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the interest bearing dollar accounts of the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27 (</w:t>
      </w:r>
      <w:r>
        <w:rPr>
          <w:rFonts w:ascii="Arial" w:cs="Arial" w:eastAsia="Arial" w:hAnsi="Arial"/>
          <w:sz w:val="18"/>
          <w:szCs w:val="18"/>
          <w:i w:val="1"/>
          <w:iCs w:val="1"/>
          <w:color w:val="auto"/>
        </w:rPr>
        <w:t>Bank accounts</w:t>
      </w:r>
      <w:r>
        <w:rPr>
          <w:rFonts w:ascii="Arial" w:cs="Arial" w:eastAsia="Arial" w:hAnsi="Arial"/>
          <w:sz w:val="18"/>
          <w:szCs w:val="18"/>
          <w:color w:val="auto"/>
        </w:rPr>
        <w:t>).</w:t>
      </w:r>
    </w:p>
    <w:p>
      <w:pPr>
        <w:spacing w:after="0" w:line="166"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41" w:right="359" w:bottom="1440" w:gutter="0" w:footer="0" w:header="0"/>
        </w:sectPr>
      </w:pPr>
    </w:p>
    <w:bookmarkStart w:id="261" w:name="page262"/>
    <w:bookmarkEnd w:id="261"/>
    <w:p>
      <w:pPr>
        <w:ind w:left="20"/>
        <w:spacing w:after="0"/>
        <w:rPr>
          <w:sz w:val="20"/>
          <w:szCs w:val="20"/>
          <w:color w:val="auto"/>
        </w:rPr>
      </w:pPr>
      <w:r>
        <w:rPr>
          <w:rFonts w:ascii="Arial" w:cs="Arial" w:eastAsia="Arial" w:hAnsi="Arial"/>
          <w:sz w:val="18"/>
          <w:szCs w:val="18"/>
          <w:b w:val="1"/>
          <w:bCs w:val="1"/>
          <w:color w:val="auto"/>
        </w:rPr>
        <w:t xml:space="preserve">Eligible Charter Agreement </w:t>
      </w:r>
      <w:r>
        <w:rPr>
          <w:rFonts w:ascii="Arial" w:cs="Arial" w:eastAsia="Arial" w:hAnsi="Arial"/>
          <w:sz w:val="18"/>
          <w:szCs w:val="18"/>
          <w:color w:val="auto"/>
        </w:rPr>
        <w:t>means a charter commitment in respect of the Ship which:</w:t>
      </w:r>
    </w:p>
    <w:p>
      <w:pPr>
        <w:spacing w:after="0" w:line="229" w:lineRule="exact"/>
        <w:rPr>
          <w:sz w:val="20"/>
          <w:szCs w:val="20"/>
          <w:color w:val="auto"/>
        </w:rPr>
      </w:pPr>
    </w:p>
    <w:p>
      <w:pPr>
        <w:ind w:left="540" w:hanging="532"/>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with a charterer that is:</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not a Non-Acceptable Charterer; and</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otherwise approved by all the Lenders; and</w:t>
      </w:r>
    </w:p>
    <w:p>
      <w:pPr>
        <w:spacing w:after="0" w:line="225" w:lineRule="exact"/>
        <w:rPr>
          <w:rFonts w:ascii="Arial" w:cs="Arial" w:eastAsia="Arial" w:hAnsi="Arial"/>
          <w:sz w:val="18"/>
          <w:szCs w:val="18"/>
          <w:color w:val="auto"/>
        </w:rPr>
      </w:pPr>
    </w:p>
    <w:p>
      <w:pPr>
        <w:ind w:left="520" w:hanging="512"/>
        <w:spacing w:after="0" w:line="277" w:lineRule="auto"/>
        <w:tabs>
          <w:tab w:leader="none" w:pos="53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24 months without taking into account any option to extend, or a fixed tenor that will expire at a date on or after the Final Repayment Date; and</w:t>
      </w:r>
    </w:p>
    <w:p>
      <w:pPr>
        <w:spacing w:after="0" w:line="170" w:lineRule="exact"/>
        <w:rPr>
          <w:rFonts w:ascii="Arial" w:cs="Arial" w:eastAsia="Arial" w:hAnsi="Arial"/>
          <w:sz w:val="18"/>
          <w:szCs w:val="18"/>
          <w:color w:val="auto"/>
        </w:rPr>
      </w:pPr>
    </w:p>
    <w:p>
      <w:pPr>
        <w:ind w:left="520" w:right="420" w:hanging="512"/>
        <w:spacing w:after="0" w:line="277" w:lineRule="auto"/>
        <w:tabs>
          <w:tab w:leader="none" w:pos="53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Ship to another person,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is otherwise acceptable in form and substance in all respects to all the Lenders, acting reasonably.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9" w:lineRule="exact"/>
        <w:rPr>
          <w:sz w:val="20"/>
          <w:szCs w:val="20"/>
          <w:color w:val="auto"/>
        </w:rPr>
      </w:pPr>
    </w:p>
    <w:p>
      <w:pPr>
        <w:ind w:left="520" w:right="860" w:hanging="502"/>
        <w:spacing w:after="0" w:line="277" w:lineRule="auto"/>
        <w:tabs>
          <w:tab w:leader="none" w:pos="5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9" w:lineRule="exact"/>
        <w:rPr>
          <w:sz w:val="20"/>
          <w:szCs w:val="20"/>
          <w:color w:val="auto"/>
        </w:rPr>
      </w:pPr>
    </w:p>
    <w:p>
      <w:pPr>
        <w:ind w:left="520" w:right="80" w:hanging="502"/>
        <w:spacing w:after="0" w:line="277" w:lineRule="auto"/>
        <w:tabs>
          <w:tab w:leader="none" w:pos="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means all laws, regulations and conventions concerning pollution or protection of human health or the environment.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left="20" w:right="240"/>
        <w:spacing w:after="0" w:line="289" w:lineRule="auto"/>
        <w:rPr>
          <w:sz w:val="20"/>
          <w:szCs w:val="20"/>
          <w:color w:val="auto"/>
        </w:rPr>
      </w:pPr>
      <w:r>
        <w:rPr>
          <w:rFonts w:ascii="Arial" w:cs="Arial" w:eastAsia="Arial" w:hAnsi="Arial"/>
          <w:sz w:val="17"/>
          <w:szCs w:val="17"/>
          <w:b w:val="1"/>
          <w:bCs w:val="1"/>
          <w:color w:val="auto"/>
        </w:rPr>
        <w:t xml:space="preserve">Existing Indebtedness </w:t>
      </w:r>
      <w:r>
        <w:rPr>
          <w:rFonts w:ascii="Arial" w:cs="Arial" w:eastAsia="Arial" w:hAnsi="Arial"/>
          <w:sz w:val="17"/>
          <w:szCs w:val="17"/>
          <w:color w:val="auto"/>
        </w:rPr>
        <w:t>means all amounts of principal owing by (inter alios) the Borrower to certain banks under a facilities agreement dated 19</w:t>
      </w:r>
      <w:r>
        <w:rPr>
          <w:rFonts w:ascii="Arial" w:cs="Arial" w:eastAsia="Arial" w:hAnsi="Arial"/>
          <w:sz w:val="17"/>
          <w:szCs w:val="17"/>
          <w:b w:val="1"/>
          <w:bCs w:val="1"/>
          <w:color w:val="auto"/>
        </w:rPr>
        <w:t xml:space="preserve"> </w:t>
      </w:r>
      <w:r>
        <w:rPr>
          <w:rFonts w:ascii="Arial" w:cs="Arial" w:eastAsia="Arial" w:hAnsi="Arial"/>
          <w:sz w:val="17"/>
          <w:szCs w:val="17"/>
          <w:color w:val="auto"/>
        </w:rPr>
        <w:t>July 2016 (as amended and restated on 17 December 2019) between (inter alios) Nordea Bank Abp, filial i Norge as agent and the Borrower and certain other companies as joint and several borrowers in respect of facilities of up to $1,050,000,000.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term loan facility made available by the Lenders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29" w:lineRule="exact"/>
        <w:rPr>
          <w:sz w:val="20"/>
          <w:szCs w:val="20"/>
          <w:color w:val="auto"/>
        </w:rPr>
      </w:pPr>
    </w:p>
    <w:p>
      <w:pPr>
        <w:ind w:left="520" w:right="120" w:hanging="506"/>
        <w:spacing w:after="0" w:line="263" w:lineRule="auto"/>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3" w:lineRule="exact"/>
        <w:rPr>
          <w:rFonts w:ascii="Arial" w:cs="Arial" w:eastAsia="Arial" w:hAnsi="Arial"/>
          <w:sz w:val="18"/>
          <w:szCs w:val="18"/>
          <w:color w:val="auto"/>
        </w:rPr>
      </w:pPr>
    </w:p>
    <w:p>
      <w:pPr>
        <w:ind w:left="540" w:hanging="52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80"/>
          </w:cols>
          <w:pgMar w:left="820" w:top="337" w:right="399" w:bottom="1440" w:gutter="0" w:footer="0" w:header="0"/>
        </w:sectPr>
      </w:pPr>
    </w:p>
    <w:bookmarkStart w:id="262" w:name="page263"/>
    <w:bookmarkEnd w:id="262"/>
    <w:p>
      <w:pPr>
        <w:ind w:left="12"/>
        <w:spacing w:after="0" w:line="266"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 Commitments have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zero and all indebtedness of the Obligors under the Finance Documents has been irrevocably and unconditionally paid and discharged in full.</w:t>
      </w:r>
    </w:p>
    <w:p>
      <w:pPr>
        <w:spacing w:after="0" w:line="17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9" w:lineRule="exact"/>
        <w:rPr>
          <w:sz w:val="20"/>
          <w:szCs w:val="20"/>
          <w:color w:val="auto"/>
        </w:rPr>
      </w:pPr>
    </w:p>
    <w:p>
      <w:pPr>
        <w:ind w:left="512" w:hanging="506"/>
        <w:spacing w:after="0"/>
        <w:tabs>
          <w:tab w:leader="none" w:pos="5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25" w:lineRule="exact"/>
        <w:rPr>
          <w:rFonts w:ascii="Arial" w:cs="Arial" w:eastAsia="Arial" w:hAnsi="Arial"/>
          <w:sz w:val="18"/>
          <w:szCs w:val="18"/>
          <w:color w:val="auto"/>
        </w:rPr>
      </w:pPr>
    </w:p>
    <w:p>
      <w:pPr>
        <w:ind w:left="512" w:right="580" w:hanging="506"/>
        <w:spacing w:after="0" w:line="342" w:lineRule="auto"/>
        <w:tabs>
          <w:tab w:leader="none" w:pos="52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123" w:lineRule="exact"/>
        <w:rPr>
          <w:rFonts w:ascii="Arial" w:cs="Arial" w:eastAsia="Arial" w:hAnsi="Arial"/>
          <w:sz w:val="16"/>
          <w:szCs w:val="16"/>
          <w:color w:val="auto"/>
        </w:rPr>
      </w:pPr>
    </w:p>
    <w:p>
      <w:pPr>
        <w:ind w:left="512" w:hanging="506"/>
        <w:spacing w:after="0" w:line="277" w:lineRule="auto"/>
        <w:tabs>
          <w:tab w:leader="none" w:pos="52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9" w:lineRule="exact"/>
        <w:rPr>
          <w:sz w:val="20"/>
          <w:szCs w:val="20"/>
          <w:color w:val="auto"/>
        </w:rPr>
      </w:pPr>
    </w:p>
    <w:p>
      <w:pPr>
        <w:ind w:left="512" w:right="280" w:hanging="512"/>
        <w:spacing w:after="0" w:line="277" w:lineRule="auto"/>
        <w:tabs>
          <w:tab w:leader="none" w:pos="5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70" w:lineRule="exact"/>
        <w:rPr>
          <w:rFonts w:ascii="Arial" w:cs="Arial" w:eastAsia="Arial" w:hAnsi="Arial"/>
          <w:sz w:val="18"/>
          <w:szCs w:val="18"/>
          <w:color w:val="auto"/>
        </w:rPr>
      </w:pPr>
    </w:p>
    <w:p>
      <w:pPr>
        <w:ind w:left="512" w:right="200" w:hanging="512"/>
        <w:spacing w:after="0" w:line="277" w:lineRule="auto"/>
        <w:tabs>
          <w:tab w:leader="none" w:pos="52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6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25" w:lineRule="exact"/>
        <w:rPr>
          <w:sz w:val="20"/>
          <w:szCs w:val="20"/>
          <w:color w:val="auto"/>
        </w:rPr>
      </w:pPr>
    </w:p>
    <w:p>
      <w:pPr>
        <w:ind w:left="12" w:right="140"/>
        <w:spacing w:after="0" w:line="282"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 relation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62"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earlier of:</w:t>
      </w:r>
    </w:p>
    <w:p>
      <w:pPr>
        <w:spacing w:after="0" w:line="229" w:lineRule="exact"/>
        <w:rPr>
          <w:sz w:val="20"/>
          <w:szCs w:val="20"/>
          <w:color w:val="auto"/>
        </w:rPr>
      </w:pPr>
    </w:p>
    <w:p>
      <w:pPr>
        <w:ind w:left="512" w:hanging="502"/>
        <w:spacing w:after="0"/>
        <w:tabs>
          <w:tab w:leader="none" w:pos="5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date falling 60 months after the Utilisation Date; and</w:t>
      </w:r>
    </w:p>
    <w:p>
      <w:pPr>
        <w:spacing w:after="0" w:line="225" w:lineRule="exact"/>
        <w:rPr>
          <w:rFonts w:ascii="Arial" w:cs="Arial" w:eastAsia="Arial" w:hAnsi="Arial"/>
          <w:sz w:val="18"/>
          <w:szCs w:val="18"/>
          <w:color w:val="auto"/>
        </w:rPr>
      </w:pPr>
    </w:p>
    <w:p>
      <w:pPr>
        <w:ind w:left="532" w:hanging="522"/>
        <w:spacing w:after="0"/>
        <w:tabs>
          <w:tab w:leader="none" w:pos="5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30 September 2025.</w:t>
      </w:r>
    </w:p>
    <w:p>
      <w:pPr>
        <w:spacing w:after="0" w:line="221" w:lineRule="exact"/>
        <w:rPr>
          <w:sz w:val="20"/>
          <w:szCs w:val="20"/>
          <w:color w:val="auto"/>
        </w:rPr>
      </w:pPr>
    </w:p>
    <w:p>
      <w:pPr>
        <w:ind w:left="12" w:right="560"/>
        <w:spacing w:after="0" w:line="347" w:lineRule="auto"/>
        <w:rPr>
          <w:sz w:val="20"/>
          <w:szCs w:val="20"/>
          <w:color w:val="auto"/>
        </w:rPr>
      </w:pPr>
      <w:r>
        <w:rPr>
          <w:rFonts w:ascii="Arial" w:cs="Arial" w:eastAsia="Arial" w:hAnsi="Arial"/>
          <w:sz w:val="16"/>
          <w:szCs w:val="16"/>
          <w:b w:val="1"/>
          <w:bCs w:val="1"/>
          <w:color w:val="auto"/>
        </w:rPr>
        <w:t xml:space="preserve">Finance Documents </w:t>
      </w:r>
      <w:r>
        <w:rPr>
          <w:rFonts w:ascii="Arial" w:cs="Arial" w:eastAsia="Arial" w:hAnsi="Arial"/>
          <w:sz w:val="16"/>
          <w:szCs w:val="16"/>
          <w:color w:val="auto"/>
        </w:rPr>
        <w:t>means this Agreement, any Fee Letter, any Quiet Enjoyment Agreement, any Hedging Contracts, any Hedging Master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Security Documents, any Transfer Certificate and any other document designated as such by the Agent and the Borrower.</w:t>
      </w:r>
    </w:p>
    <w:p>
      <w:pPr>
        <w:spacing w:after="0" w:line="116"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the Arranger, any Hedging Provider or a Lender.</w:t>
      </w:r>
    </w:p>
    <w:p>
      <w:pPr>
        <w:spacing w:after="0" w:line="225"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9" w:lineRule="exact"/>
        <w:rPr>
          <w:sz w:val="20"/>
          <w:szCs w:val="20"/>
          <w:color w:val="auto"/>
        </w:rPr>
      </w:pPr>
    </w:p>
    <w:p>
      <w:pPr>
        <w:ind w:left="512" w:hanging="502"/>
        <w:spacing w:after="0"/>
        <w:tabs>
          <w:tab w:leader="none" w:pos="51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25" w:lineRule="exact"/>
        <w:rPr>
          <w:rFonts w:ascii="Arial" w:cs="Arial" w:eastAsia="Arial" w:hAnsi="Arial"/>
          <w:sz w:val="18"/>
          <w:szCs w:val="18"/>
          <w:color w:val="auto"/>
        </w:rPr>
      </w:pPr>
    </w:p>
    <w:p>
      <w:pPr>
        <w:ind w:left="532" w:hanging="522"/>
        <w:spacing w:after="0"/>
        <w:tabs>
          <w:tab w:leader="none" w:pos="53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225" w:lineRule="exact"/>
        <w:rPr>
          <w:rFonts w:ascii="Arial" w:cs="Arial" w:eastAsia="Arial" w:hAnsi="Arial"/>
          <w:sz w:val="18"/>
          <w:szCs w:val="18"/>
          <w:color w:val="auto"/>
        </w:rPr>
      </w:pPr>
    </w:p>
    <w:p>
      <w:pPr>
        <w:ind w:left="5072" w:right="420" w:hanging="5062"/>
        <w:spacing w:after="0" w:line="527" w:lineRule="auto"/>
        <w:tabs>
          <w:tab w:leader="none" w:pos="53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-89535</wp:posOffset>
            </wp:positionV>
            <wp:extent cx="71532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32"/>
          </w:cols>
          <w:pgMar w:left="828" w:top="337" w:right="439" w:bottom="1440" w:gutter="0" w:footer="0" w:header="0"/>
        </w:sectPr>
      </w:pPr>
    </w:p>
    <w:bookmarkStart w:id="263" w:name="page264"/>
    <w:bookmarkEnd w:id="263"/>
    <w:p>
      <w:pPr>
        <w:ind w:left="502" w:right="180" w:hanging="502"/>
        <w:spacing w:after="0" w:line="277" w:lineRule="auto"/>
        <w:tabs>
          <w:tab w:leader="none" w:pos="51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25" w:lineRule="exact"/>
        <w:rPr>
          <w:rFonts w:ascii="Arial" w:cs="Arial" w:eastAsia="Arial" w:hAnsi="Arial"/>
          <w:sz w:val="18"/>
          <w:szCs w:val="18"/>
          <w:color w:val="auto"/>
        </w:rPr>
      </w:pPr>
    </w:p>
    <w:p>
      <w:pPr>
        <w:ind w:left="502" w:right="280" w:hanging="502"/>
        <w:spacing w:after="0" w:line="342" w:lineRule="auto"/>
        <w:tabs>
          <w:tab w:leader="none" w:pos="50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23" w:lineRule="exact"/>
        <w:rPr>
          <w:rFonts w:ascii="Arial" w:cs="Arial" w:eastAsia="Arial" w:hAnsi="Arial"/>
          <w:sz w:val="16"/>
          <w:szCs w:val="16"/>
          <w:color w:val="auto"/>
        </w:rPr>
      </w:pPr>
    </w:p>
    <w:p>
      <w:pPr>
        <w:ind w:left="502" w:right="100" w:hanging="502"/>
        <w:spacing w:after="0" w:line="277" w:lineRule="auto"/>
        <w:tabs>
          <w:tab w:leader="none" w:pos="5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70" w:lineRule="exact"/>
        <w:rPr>
          <w:rFonts w:ascii="Arial" w:cs="Arial" w:eastAsia="Arial" w:hAnsi="Arial"/>
          <w:sz w:val="18"/>
          <w:szCs w:val="18"/>
          <w:color w:val="auto"/>
        </w:rPr>
      </w:pPr>
    </w:p>
    <w:p>
      <w:pPr>
        <w:ind w:left="502" w:hanging="502"/>
        <w:spacing w:after="0" w:line="263" w:lineRule="auto"/>
        <w:tabs>
          <w:tab w:leader="none" w:pos="51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83" w:lineRule="exact"/>
        <w:rPr>
          <w:rFonts w:ascii="Arial" w:cs="Arial" w:eastAsia="Arial" w:hAnsi="Arial"/>
          <w:sz w:val="18"/>
          <w:szCs w:val="18"/>
          <w:color w:val="auto"/>
        </w:rPr>
      </w:pPr>
    </w:p>
    <w:p>
      <w:pPr>
        <w:ind w:left="502" w:right="640" w:hanging="502"/>
        <w:spacing w:after="0" w:line="277" w:lineRule="auto"/>
        <w:tabs>
          <w:tab w:leader="none" w:pos="52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subject to clause 35.7 (</w:t>
      </w:r>
      <w:r>
        <w:rPr>
          <w:rFonts w:ascii="Arial" w:cs="Arial" w:eastAsia="Arial" w:hAnsi="Arial"/>
          <w:sz w:val="18"/>
          <w:szCs w:val="18"/>
          <w:i w:val="1"/>
          <w:iCs w:val="1"/>
          <w:color w:val="auto"/>
        </w:rPr>
        <w:t>Business Days</w:t>
      </w:r>
      <w:r>
        <w:rPr>
          <w:rFonts w:ascii="Arial" w:cs="Arial" w:eastAsia="Arial" w:hAnsi="Arial"/>
          <w:sz w:val="18"/>
          <w:szCs w:val="18"/>
          <w:color w:val="auto"/>
        </w:rPr>
        <w:t>), the date falling three (3) months after the Utilisation Date.</w:t>
      </w:r>
    </w:p>
    <w:p>
      <w:pPr>
        <w:spacing w:after="0" w:line="225" w:lineRule="exact"/>
        <w:rPr>
          <w:sz w:val="20"/>
          <w:szCs w:val="20"/>
          <w:color w:val="auto"/>
        </w:rPr>
      </w:pPr>
    </w:p>
    <w:p>
      <w:pPr>
        <w:jc w:val="both"/>
        <w:ind w:left="2" w:right="80"/>
        <w:spacing w:after="0" w:line="314" w:lineRule="auto"/>
        <w:rPr>
          <w:sz w:val="20"/>
          <w:szCs w:val="20"/>
          <w:color w:val="auto"/>
        </w:rPr>
      </w:pPr>
      <w:r>
        <w:rPr>
          <w:rFonts w:ascii="Arial" w:cs="Arial" w:eastAsia="Arial" w:hAnsi="Arial"/>
          <w:sz w:val="16"/>
          <w:szCs w:val="16"/>
          <w:b w:val="1"/>
          <w:bCs w:val="1"/>
          <w:color w:val="auto"/>
        </w:rPr>
        <w:t xml:space="preserve">Flag State </w:t>
      </w:r>
      <w:r>
        <w:rPr>
          <w:rFonts w:ascii="Arial" w:cs="Arial" w:eastAsia="Arial" w:hAnsi="Arial"/>
          <w:sz w:val="16"/>
          <w:szCs w:val="16"/>
          <w:color w:val="auto"/>
        </w:rPr>
        <w:t>means, in relation to the Ship, the country specified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or another Approved Flag State (provided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clause 22.1(b) (</w:t>
      </w:r>
      <w:r>
        <w:rPr>
          <w:rFonts w:ascii="Arial" w:cs="Arial" w:eastAsia="Arial" w:hAnsi="Arial"/>
          <w:sz w:val="16"/>
          <w:szCs w:val="16"/>
          <w:i w:val="1"/>
          <w:iCs w:val="1"/>
          <w:color w:val="auto"/>
        </w:rPr>
        <w:t>Ship’s name and registration</w:t>
      </w:r>
      <w:r>
        <w:rPr>
          <w:rFonts w:ascii="Arial" w:cs="Arial" w:eastAsia="Arial" w:hAnsi="Arial"/>
          <w:sz w:val="16"/>
          <w:szCs w:val="16"/>
          <w:color w:val="auto"/>
        </w:rPr>
        <w:t xml:space="preserve">) are complied with) or such other state or territory as may be approved by all the Lenders (acting reasonably), at the request of the Borrower, as being the </w:t>
      </w:r>
      <w:r>
        <w:rPr>
          <w:rFonts w:ascii="Arial" w:cs="Arial" w:eastAsia="Arial" w:hAnsi="Arial"/>
          <w:sz w:val="16"/>
          <w:szCs w:val="16"/>
          <w:b w:val="1"/>
          <w:bCs w:val="1"/>
          <w:color w:val="auto"/>
        </w:rPr>
        <w:t>Flag State</w:t>
      </w:r>
      <w:r>
        <w:rPr>
          <w:rFonts w:ascii="Arial" w:cs="Arial" w:eastAsia="Arial" w:hAnsi="Arial"/>
          <w:sz w:val="16"/>
          <w:szCs w:val="16"/>
          <w:color w:val="auto"/>
        </w:rPr>
        <w:t xml:space="preserve"> of the Ship for the purposes of the Finance Documents.</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the Ship and any other vessel directly or indirectly owned, wholly or partly, by any Group Member.</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xml:space="preserve">Funding Rate </w:t>
      </w:r>
      <w:r>
        <w:rPr>
          <w:rFonts w:ascii="Arial" w:cs="Arial" w:eastAsia="Arial" w:hAnsi="Arial"/>
          <w:sz w:val="17"/>
          <w:szCs w:val="17"/>
          <w:color w:val="auto"/>
        </w:rPr>
        <w:t>means any individual rate notified by the Lender to the Borrower pursuant to paragraph (a)(ii) of clause 10.3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(Cost of funds)</w:t>
      </w:r>
      <w:r>
        <w:rPr>
          <w:rFonts w:ascii="Arial" w:cs="Arial" w:eastAsia="Arial" w:hAnsi="Arial"/>
          <w:sz w:val="17"/>
          <w:szCs w:val="17"/>
          <w:b w:val="1"/>
          <w:bCs w:val="1"/>
          <w:color w:val="auto"/>
        </w:rPr>
        <w:t>.</w:t>
      </w:r>
    </w:p>
    <w:p>
      <w:pPr>
        <w:spacing w:after="0" w:line="237" w:lineRule="exact"/>
        <w:rPr>
          <w:sz w:val="20"/>
          <w:szCs w:val="20"/>
          <w:color w:val="auto"/>
        </w:rPr>
      </w:pPr>
    </w:p>
    <w:p>
      <w:pPr>
        <w:ind w:left="2" w:right="20"/>
        <w:spacing w:after="0" w:line="266"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issued or adopted from time to time by the International Accounting Standards Board to the extent applicable to the relevant financial statements.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Carriers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right="40"/>
        <w:spacing w:after="0" w:line="266"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the Ship in respect of which the mortgage is not an account current form, a first assignment of its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Ship’s Insurances, Earnings and Requisition Compensation by the Borrower in favour of the Security Agent and/or any of the other Finance Parties in the agreed form.</w:t>
      </w:r>
    </w:p>
    <w:p>
      <w:pPr>
        <w:spacing w:after="0" w:line="176" w:lineRule="exact"/>
        <w:rPr>
          <w:sz w:val="20"/>
          <w:szCs w:val="20"/>
          <w:color w:val="auto"/>
        </w:rPr>
      </w:pPr>
    </w:p>
    <w:p>
      <w:pPr>
        <w:ind w:left="2" w:right="100"/>
        <w:spacing w:after="0" w:line="266"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 and for the purposes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 clause 20 (</w:t>
      </w:r>
      <w:r>
        <w:rPr>
          <w:rFonts w:ascii="Arial" w:cs="Arial" w:eastAsia="Arial" w:hAnsi="Arial"/>
          <w:sz w:val="18"/>
          <w:szCs w:val="18"/>
          <w:i w:val="1"/>
          <w:iCs w:val="1"/>
          <w:color w:val="auto"/>
        </w:rPr>
        <w:t>Financial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 any other entity required to be treated as a subsidiary in the Parent’s consolidated accounts in accordance with GAAP and/or any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relevant Group.</w:t>
      </w:r>
    </w:p>
    <w:p>
      <w:pPr>
        <w:spacing w:after="0" w:line="229"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64" w:name="page265"/>
    <w:bookmarkEnd w:id="264"/>
    <w:p>
      <w:pPr>
        <w:ind w:left="2"/>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together, the Parent and GasLog Carriers,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any of them.</w:t>
      </w:r>
    </w:p>
    <w:p>
      <w:pPr>
        <w:spacing w:after="0" w:line="225"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Hedging Contract </w:t>
      </w:r>
      <w:r>
        <w:rPr>
          <w:rFonts w:ascii="Arial" w:cs="Arial" w:eastAsia="Arial" w:hAnsi="Arial"/>
          <w:sz w:val="18"/>
          <w:szCs w:val="18"/>
          <w:color w:val="auto"/>
        </w:rPr>
        <w:t>means any Hedging Transaction between the Borrower and any Hedging Provider pursuant to any Hedging Master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includes any Hedging Master Agreement and any Confirmations from time to time exchanged under it and governed by its terms relating to that Hedging Transaction and any contract in relation to such a Hedging Transaction constituted and/or evidenced by them and </w:t>
      </w:r>
      <w:r>
        <w:rPr>
          <w:rFonts w:ascii="Arial" w:cs="Arial" w:eastAsia="Arial" w:hAnsi="Arial"/>
          <w:sz w:val="18"/>
          <w:szCs w:val="18"/>
          <w:b w:val="1"/>
          <w:bCs w:val="1"/>
          <w:color w:val="auto"/>
        </w:rPr>
        <w:t>Hedging Contracts</w:t>
      </w:r>
      <w:r>
        <w:rPr>
          <w:rFonts w:ascii="Arial" w:cs="Arial" w:eastAsia="Arial" w:hAnsi="Arial"/>
          <w:sz w:val="18"/>
          <w:szCs w:val="18"/>
          <w:color w:val="auto"/>
        </w:rPr>
        <w:t xml:space="preserve"> means all of them.</w:t>
      </w:r>
    </w:p>
    <w:p>
      <w:pPr>
        <w:spacing w:after="0" w:line="180"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Hedging Contract Security </w:t>
      </w:r>
      <w:r>
        <w:rPr>
          <w:rFonts w:ascii="Arial" w:cs="Arial" w:eastAsia="Arial" w:hAnsi="Arial"/>
          <w:sz w:val="18"/>
          <w:szCs w:val="18"/>
          <w:color w:val="auto"/>
        </w:rPr>
        <w:t>means a deed or other instrument by the Borrower in favour of the Security Agent in the agreed form conferring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over any Hedging Contracts.</w:t>
      </w:r>
    </w:p>
    <w:p>
      <w:pPr>
        <w:spacing w:after="0" w:line="162" w:lineRule="exact"/>
        <w:rPr>
          <w:sz w:val="20"/>
          <w:szCs w:val="20"/>
          <w:color w:val="auto"/>
        </w:rPr>
      </w:pPr>
    </w:p>
    <w:p>
      <w:pPr>
        <w:ind w:left="2" w:right="420"/>
        <w:spacing w:after="0" w:line="282" w:lineRule="auto"/>
        <w:rPr>
          <w:sz w:val="20"/>
          <w:szCs w:val="20"/>
          <w:color w:val="auto"/>
        </w:rPr>
      </w:pPr>
      <w:r>
        <w:rPr>
          <w:rFonts w:ascii="Arial" w:cs="Arial" w:eastAsia="Arial" w:hAnsi="Arial"/>
          <w:sz w:val="18"/>
          <w:szCs w:val="18"/>
          <w:b w:val="1"/>
          <w:bCs w:val="1"/>
          <w:color w:val="auto"/>
        </w:rPr>
        <w:t xml:space="preserve">Hedging Exposure </w:t>
      </w:r>
      <w:r>
        <w:rPr>
          <w:rFonts w:ascii="Arial" w:cs="Arial" w:eastAsia="Arial" w:hAnsi="Arial"/>
          <w:sz w:val="18"/>
          <w:szCs w:val="18"/>
          <w:color w:val="auto"/>
        </w:rPr>
        <w:t>means, at any relevant date and in relation to any Hedging Provider, the aggregate of the amount certified by that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to the Agent to be the net amount in dollars:</w:t>
      </w:r>
    </w:p>
    <w:p>
      <w:pPr>
        <w:spacing w:after="0" w:line="166" w:lineRule="exact"/>
        <w:rPr>
          <w:sz w:val="20"/>
          <w:szCs w:val="20"/>
          <w:color w:val="auto"/>
        </w:rPr>
      </w:pPr>
    </w:p>
    <w:p>
      <w:pPr>
        <w:ind w:left="502" w:right="180" w:hanging="502"/>
        <w:spacing w:after="0" w:line="277" w:lineRule="auto"/>
        <w:tabs>
          <w:tab w:leader="none" w:pos="50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relation to all Hedging Contracts that have been closed out on or prior to the relevant date, that is due and owing by the Borrower to that Hedging Provider in respect of such Hedging Contracts on the relevant date; and</w:t>
      </w:r>
    </w:p>
    <w:p>
      <w:pPr>
        <w:spacing w:after="0" w:line="170" w:lineRule="exact"/>
        <w:rPr>
          <w:rFonts w:ascii="Arial" w:cs="Arial" w:eastAsia="Arial" w:hAnsi="Arial"/>
          <w:sz w:val="18"/>
          <w:szCs w:val="18"/>
          <w:color w:val="auto"/>
        </w:rPr>
      </w:pPr>
    </w:p>
    <w:p>
      <w:pPr>
        <w:ind w:left="502" w:right="80" w:hanging="502"/>
        <w:spacing w:after="0" w:line="257" w:lineRule="auto"/>
        <w:tabs>
          <w:tab w:leader="none" w:pos="51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relation to all Hedging Contracts with that Hedging Provider that are continuing on the relevant date, that would be payable by the Borrower to that Hedging Provider under (and calculated in accordance with) the early termination provisions of such Hedging Contracts as if an Early Termination Date (as defined in the relevant Hedging Master Agreement) had occurred on the relevant date in relation to all such continuing Hedging Contracts, less any cash collateral that has been provided to that Hedging Provider specifically to secure the Borrower’s obligations under the Hedging Contracts with that Hedging Provider.</w:t>
      </w:r>
    </w:p>
    <w:p>
      <w:pPr>
        <w:spacing w:after="0" w:line="184" w:lineRule="exact"/>
        <w:rPr>
          <w:sz w:val="20"/>
          <w:szCs w:val="20"/>
          <w:color w:val="auto"/>
        </w:rPr>
      </w:pPr>
    </w:p>
    <w:p>
      <w:pPr>
        <w:ind w:left="2" w:right="20"/>
        <w:spacing w:after="0" w:line="282" w:lineRule="auto"/>
        <w:rPr>
          <w:sz w:val="20"/>
          <w:szCs w:val="20"/>
          <w:color w:val="auto"/>
        </w:rPr>
      </w:pPr>
      <w:r>
        <w:rPr>
          <w:rFonts w:ascii="Arial" w:cs="Arial" w:eastAsia="Arial" w:hAnsi="Arial"/>
          <w:sz w:val="18"/>
          <w:szCs w:val="18"/>
          <w:b w:val="1"/>
          <w:bCs w:val="1"/>
          <w:color w:val="auto"/>
        </w:rPr>
        <w:t xml:space="preserve">Hedging Master Agreement </w:t>
      </w:r>
      <w:r>
        <w:rPr>
          <w:rFonts w:ascii="Arial" w:cs="Arial" w:eastAsia="Arial" w:hAnsi="Arial"/>
          <w:sz w:val="18"/>
          <w:szCs w:val="18"/>
          <w:color w:val="auto"/>
        </w:rPr>
        <w:t>means any agreement made or (as the context may require) to be made between the Borrower and a Hedging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comprising an ISDA Master Agreement and the Schedule thereto in the agreed form.</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Hedging Provider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Hedging Provider as at the date of this Agreement;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entity which becomes a Party as a Hedging Provider with the prior written agreement of, and in the manner required by, the Parties.</w:t>
      </w:r>
    </w:p>
    <w:p>
      <w:pPr>
        <w:spacing w:after="0" w:line="244" w:lineRule="exact"/>
        <w:rPr>
          <w:sz w:val="20"/>
          <w:szCs w:val="20"/>
          <w:color w:val="auto"/>
        </w:rPr>
      </w:pPr>
    </w:p>
    <w:p>
      <w:pPr>
        <w:ind w:left="2" w:right="420"/>
        <w:spacing w:after="0" w:line="282" w:lineRule="auto"/>
        <w:rPr>
          <w:sz w:val="20"/>
          <w:szCs w:val="20"/>
          <w:color w:val="auto"/>
        </w:rPr>
      </w:pPr>
      <w:r>
        <w:rPr>
          <w:rFonts w:ascii="Arial" w:cs="Arial" w:eastAsia="Arial" w:hAnsi="Arial"/>
          <w:sz w:val="18"/>
          <w:szCs w:val="18"/>
          <w:b w:val="1"/>
          <w:bCs w:val="1"/>
          <w:color w:val="auto"/>
        </w:rPr>
        <w:t xml:space="preserve">Hedging Transaction </w:t>
      </w:r>
      <w:r>
        <w:rPr>
          <w:rFonts w:ascii="Arial" w:cs="Arial" w:eastAsia="Arial" w:hAnsi="Arial"/>
          <w:sz w:val="18"/>
          <w:szCs w:val="18"/>
          <w:color w:val="auto"/>
        </w:rPr>
        <w:t>has, in relation to any Hedging Master Agreement, the meaning given to the term “Transaction” in that Hedging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2" w:right="120"/>
        <w:spacing w:after="0" w:line="282"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 Subsidiary.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9" w:lineRule="exact"/>
        <w:rPr>
          <w:sz w:val="20"/>
          <w:szCs w:val="20"/>
          <w:color w:val="auto"/>
        </w:rPr>
      </w:pPr>
    </w:p>
    <w:p>
      <w:pPr>
        <w:ind w:left="502" w:right="140" w:hanging="502"/>
        <w:spacing w:after="0" w:line="277" w:lineRule="auto"/>
        <w:tabs>
          <w:tab w:leader="none" w:pos="50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225" w:lineRule="exact"/>
        <w:rPr>
          <w:sz w:val="20"/>
          <w:szCs w:val="20"/>
          <w:color w:val="auto"/>
        </w:rPr>
      </w:pPr>
    </w:p>
    <w:p>
      <w:pPr>
        <w:jc w:val="center"/>
        <w:ind w:right="47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225" w:lineRule="exact"/>
        <w:rPr>
          <w:sz w:val="20"/>
          <w:szCs w:val="20"/>
          <w:color w:val="auto"/>
        </w:rPr>
      </w:pPr>
    </w:p>
    <w:p>
      <w:pPr>
        <w:ind w:left="1042" w:hanging="531"/>
        <w:spacing w:after="0"/>
        <w:tabs>
          <w:tab w:leader="none" w:pos="104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has the meaning given to it in clause 13.1(b)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means:</w:t>
      </w:r>
    </w:p>
    <w:p>
      <w:pPr>
        <w:spacing w:after="0" w:line="229" w:lineRule="exact"/>
        <w:rPr>
          <w:sz w:val="20"/>
          <w:szCs w:val="20"/>
          <w:color w:val="auto"/>
        </w:rPr>
      </w:pPr>
    </w:p>
    <w:p>
      <w:pPr>
        <w:ind w:left="502" w:right="700" w:hanging="502"/>
        <w:spacing w:after="0" w:line="277" w:lineRule="auto"/>
        <w:tabs>
          <w:tab w:leader="none" w:pos="50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ectPr>
          <w:pgSz w:w="11900" w:h="16838" w:orient="portrait"/>
          <w:cols w:equalWidth="0" w:num="1">
            <w:col w:w="10682"/>
          </w:cols>
          <w:pgMar w:left="838" w:top="337" w:right="379" w:bottom="0" w:gutter="0" w:footer="0" w:header="0"/>
        </w:sectPr>
      </w:pPr>
    </w:p>
    <w:bookmarkStart w:id="265" w:name="page266"/>
    <w:bookmarkEnd w:id="265"/>
    <w:p>
      <w:pPr>
        <w:ind w:left="2"/>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 Finance Party means that the Finance Party:</w:t>
      </w:r>
    </w:p>
    <w:p>
      <w:pPr>
        <w:spacing w:after="0" w:line="229" w:lineRule="exact"/>
        <w:rPr>
          <w:sz w:val="20"/>
          <w:szCs w:val="20"/>
          <w:color w:val="auto"/>
        </w:rPr>
      </w:pPr>
    </w:p>
    <w:p>
      <w:pPr>
        <w:ind w:left="502" w:hanging="502"/>
        <w:spacing w:after="0"/>
        <w:tabs>
          <w:tab w:leader="none" w:pos="5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25" w:lineRule="exact"/>
        <w:rPr>
          <w:rFonts w:ascii="Arial" w:cs="Arial" w:eastAsia="Arial" w:hAnsi="Arial"/>
          <w:sz w:val="18"/>
          <w:szCs w:val="18"/>
          <w:color w:val="auto"/>
        </w:rPr>
      </w:pPr>
    </w:p>
    <w:p>
      <w:pPr>
        <w:ind w:left="502" w:hanging="502"/>
        <w:spacing w:after="0" w:line="277" w:lineRule="auto"/>
        <w:tabs>
          <w:tab w:leader="none" w:pos="5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25" w:lineRule="exact"/>
        <w:rPr>
          <w:rFonts w:ascii="Arial" w:cs="Arial" w:eastAsia="Arial" w:hAnsi="Arial"/>
          <w:sz w:val="18"/>
          <w:szCs w:val="18"/>
          <w:color w:val="auto"/>
        </w:rPr>
      </w:pPr>
    </w:p>
    <w:p>
      <w:pPr>
        <w:ind w:left="502" w:hanging="502"/>
        <w:spacing w:after="0" w:line="279" w:lineRule="auto"/>
        <w:tabs>
          <w:tab w:leader="none" w:pos="51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1" w:lineRule="exact"/>
        <w:rPr>
          <w:rFonts w:ascii="Arial" w:cs="Arial" w:eastAsia="Arial" w:hAnsi="Arial"/>
          <w:sz w:val="17"/>
          <w:szCs w:val="17"/>
          <w:color w:val="auto"/>
        </w:rPr>
      </w:pPr>
    </w:p>
    <w:p>
      <w:pPr>
        <w:ind w:left="502" w:right="20" w:hanging="502"/>
        <w:spacing w:after="0" w:line="259" w:lineRule="auto"/>
        <w:tabs>
          <w:tab w:leader="none" w:pos="5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6" w:lineRule="exact"/>
        <w:rPr>
          <w:rFonts w:ascii="Arial" w:cs="Arial" w:eastAsia="Arial" w:hAnsi="Arial"/>
          <w:sz w:val="18"/>
          <w:szCs w:val="18"/>
          <w:color w:val="auto"/>
        </w:rPr>
      </w:pPr>
    </w:p>
    <w:p>
      <w:pPr>
        <w:ind w:left="1022" w:right="240" w:hanging="511"/>
        <w:spacing w:after="0" w:line="277" w:lineRule="auto"/>
        <w:tabs>
          <w:tab w:leader="none" w:pos="1046"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70" w:lineRule="exact"/>
        <w:rPr>
          <w:rFonts w:ascii="Arial" w:cs="Arial" w:eastAsia="Arial" w:hAnsi="Arial"/>
          <w:sz w:val="18"/>
          <w:szCs w:val="18"/>
          <w:color w:val="auto"/>
        </w:rPr>
      </w:pPr>
    </w:p>
    <w:p>
      <w:pPr>
        <w:ind w:left="1062" w:hanging="551"/>
        <w:spacing w:after="0"/>
        <w:tabs>
          <w:tab w:leader="none" w:pos="106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25" w:lineRule="exact"/>
        <w:rPr>
          <w:rFonts w:ascii="Arial" w:cs="Arial" w:eastAsia="Arial" w:hAnsi="Arial"/>
          <w:sz w:val="18"/>
          <w:szCs w:val="18"/>
          <w:color w:val="auto"/>
        </w:rPr>
      </w:pPr>
    </w:p>
    <w:p>
      <w:pPr>
        <w:ind w:left="502" w:right="40" w:hanging="502"/>
        <w:spacing w:after="0" w:line="263" w:lineRule="auto"/>
        <w:tabs>
          <w:tab w:leader="none" w:pos="50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4"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2"/>
          </w:cols>
          <w:pgMar w:left="838" w:top="337" w:right="399" w:bottom="1440" w:gutter="0" w:footer="0" w:header="0"/>
        </w:sectPr>
      </w:pPr>
    </w:p>
    <w:bookmarkStart w:id="266" w:name="page267"/>
    <w:bookmarkEnd w:id="266"/>
    <w:p>
      <w:pPr>
        <w:ind w:left="502" w:right="480" w:hanging="502"/>
        <w:spacing w:after="0" w:line="277" w:lineRule="auto"/>
        <w:tabs>
          <w:tab w:leader="none" w:pos="52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70" w:lineRule="exact"/>
        <w:rPr>
          <w:rFonts w:ascii="Arial" w:cs="Arial" w:eastAsia="Arial" w:hAnsi="Arial"/>
          <w:sz w:val="18"/>
          <w:szCs w:val="18"/>
          <w:color w:val="auto"/>
        </w:rPr>
      </w:pPr>
    </w:p>
    <w:p>
      <w:pPr>
        <w:ind w:left="502" w:right="400" w:hanging="502"/>
        <w:spacing w:after="0" w:line="277" w:lineRule="auto"/>
        <w:tabs>
          <w:tab w:leader="none" w:pos="5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70" w:lineRule="exact"/>
        <w:rPr>
          <w:rFonts w:ascii="Arial" w:cs="Arial" w:eastAsia="Arial" w:hAnsi="Arial"/>
          <w:sz w:val="18"/>
          <w:szCs w:val="18"/>
          <w:color w:val="auto"/>
        </w:rPr>
      </w:pPr>
    </w:p>
    <w:p>
      <w:pPr>
        <w:ind w:left="502" w:right="280" w:hanging="502"/>
        <w:spacing w:after="0" w:line="286" w:lineRule="auto"/>
        <w:tabs>
          <w:tab w:leader="none" w:pos="52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65" w:lineRule="exact"/>
        <w:rPr>
          <w:rFonts w:ascii="Arial" w:cs="Arial" w:eastAsia="Arial" w:hAnsi="Arial"/>
          <w:sz w:val="17"/>
          <w:szCs w:val="17"/>
          <w:color w:val="auto"/>
        </w:rPr>
      </w:pPr>
    </w:p>
    <w:p>
      <w:pPr>
        <w:ind w:left="502" w:right="160" w:hanging="502"/>
        <w:spacing w:after="0" w:line="277" w:lineRule="auto"/>
        <w:tabs>
          <w:tab w:leader="none" w:pos="51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Insurance Notice </w:t>
      </w:r>
      <w:r>
        <w:rPr>
          <w:rFonts w:ascii="Arial" w:cs="Arial" w:eastAsia="Arial" w:hAnsi="Arial"/>
          <w:sz w:val="16"/>
          <w:szCs w:val="16"/>
          <w:color w:val="auto"/>
        </w:rPr>
        <w:t>means a notice of assignment in the form scheduled to the General Assignment or Deed of Covenant or in another approved form.</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the Ship:</w:t>
      </w:r>
    </w:p>
    <w:p>
      <w:pPr>
        <w:spacing w:after="0" w:line="229" w:lineRule="exact"/>
        <w:rPr>
          <w:sz w:val="20"/>
          <w:szCs w:val="20"/>
          <w:color w:val="auto"/>
        </w:rPr>
      </w:pPr>
    </w:p>
    <w:p>
      <w:pPr>
        <w:ind w:left="502" w:hanging="502"/>
        <w:spacing w:after="0"/>
        <w:tabs>
          <w:tab w:leader="none" w:pos="50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25" w:lineRule="exact"/>
        <w:rPr>
          <w:sz w:val="20"/>
          <w:szCs w:val="20"/>
          <w:color w:val="auto"/>
        </w:rPr>
      </w:pPr>
    </w:p>
    <w:p>
      <w:pPr>
        <w:ind w:left="2" w:right="680"/>
        <w:spacing w:after="0" w:line="342" w:lineRule="auto"/>
        <w:rPr>
          <w:sz w:val="20"/>
          <w:szCs w:val="20"/>
          <w:color w:val="auto"/>
        </w:rPr>
      </w:pPr>
      <w:r>
        <w:rPr>
          <w:rFonts w:ascii="Arial" w:cs="Arial" w:eastAsia="Arial" w:hAnsi="Arial"/>
          <w:sz w:val="16"/>
          <w:szCs w:val="16"/>
          <w:color w:val="auto"/>
        </w:rPr>
        <w:t>in the name of the Borrower or the joint names of the Borrower and any other person in respect of or in connection with the Ship and/or the Borrower’s Earnings from the Ship and includes all benefits thereof (including the right to receive claims and to return of premiums).</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25"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the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w:t>
      </w:r>
      <w:r>
        <w:rPr>
          <w:rFonts w:ascii="Arial" w:cs="Arial" w:eastAsia="Arial" w:hAnsi="Arial"/>
          <w:sz w:val="18"/>
          <w:szCs w:val="18"/>
          <w:b w:val="1"/>
          <w:bCs w:val="1"/>
          <w:color w:val="auto"/>
        </w:rPr>
        <w:t xml:space="preserve"> </w:t>
      </w:r>
      <w:r>
        <w:rPr>
          <w:rFonts w:ascii="Arial" w:cs="Arial" w:eastAsia="Arial" w:hAnsi="Arial"/>
          <w:sz w:val="18"/>
          <w:szCs w:val="18"/>
          <w:color w:val="auto"/>
        </w:rPr>
        <w:t>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62" w:lineRule="exact"/>
        <w:rPr>
          <w:sz w:val="20"/>
          <w:szCs w:val="20"/>
          <w:color w:val="auto"/>
        </w:rPr>
      </w:pPr>
    </w:p>
    <w:p>
      <w:pPr>
        <w:ind w:left="2" w:right="100"/>
        <w:spacing w:after="0" w:line="347" w:lineRule="auto"/>
        <w:rPr>
          <w:sz w:val="20"/>
          <w:szCs w:val="20"/>
          <w:color w:val="auto"/>
        </w:rPr>
      </w:pPr>
      <w:r>
        <w:rPr>
          <w:rFonts w:ascii="Arial" w:cs="Arial" w:eastAsia="Arial" w:hAnsi="Arial"/>
          <w:sz w:val="16"/>
          <w:szCs w:val="16"/>
          <w:b w:val="1"/>
          <w:bCs w:val="1"/>
          <w:color w:val="auto"/>
        </w:rPr>
        <w:t xml:space="preserve">Interpolated Screen Rate </w:t>
      </w:r>
      <w:r>
        <w:rPr>
          <w:rFonts w:ascii="Arial" w:cs="Arial" w:eastAsia="Arial" w:hAnsi="Arial"/>
          <w:sz w:val="16"/>
          <w:szCs w:val="16"/>
          <w:color w:val="auto"/>
        </w:rPr>
        <w:t>means, in relation to LIBOR for an Interest Period with respect to the Loan or any part of it or any Unpaid Sum, the rate</w:t>
      </w:r>
      <w:r>
        <w:rPr>
          <w:rFonts w:ascii="Arial" w:cs="Arial" w:eastAsia="Arial" w:hAnsi="Arial"/>
          <w:sz w:val="16"/>
          <w:szCs w:val="16"/>
          <w:b w:val="1"/>
          <w:bCs w:val="1"/>
          <w:color w:val="auto"/>
        </w:rPr>
        <w:t xml:space="preserve"> </w:t>
      </w:r>
      <w:r>
        <w:rPr>
          <w:rFonts w:ascii="Arial" w:cs="Arial" w:eastAsia="Arial" w:hAnsi="Arial"/>
          <w:sz w:val="16"/>
          <w:szCs w:val="16"/>
          <w:color w:val="auto"/>
        </w:rPr>
        <w:t>(rounded to the same number of decimal places as the two (2) relevant Screen Rates) which results from interpolating on a linear basis between:</w:t>
      </w:r>
    </w:p>
    <w:p>
      <w:pPr>
        <w:spacing w:after="0" w:line="120" w:lineRule="exact"/>
        <w:rPr>
          <w:sz w:val="20"/>
          <w:szCs w:val="20"/>
          <w:color w:val="auto"/>
        </w:rPr>
      </w:pPr>
    </w:p>
    <w:p>
      <w:pPr>
        <w:ind w:left="502" w:right="260" w:hanging="502"/>
        <w:spacing w:after="0" w:line="277" w:lineRule="auto"/>
        <w:tabs>
          <w:tab w:leader="none" w:pos="50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the Loan (or the relevant part of it) or the relevant Unpaid Sum; and</w:t>
      </w:r>
    </w:p>
    <w:p>
      <w:pPr>
        <w:spacing w:after="0" w:line="170" w:lineRule="exact"/>
        <w:rPr>
          <w:rFonts w:ascii="Arial" w:cs="Arial" w:eastAsia="Arial" w:hAnsi="Arial"/>
          <w:sz w:val="18"/>
          <w:szCs w:val="18"/>
          <w:color w:val="auto"/>
        </w:rPr>
      </w:pPr>
    </w:p>
    <w:p>
      <w:pPr>
        <w:ind w:left="502" w:right="160" w:hanging="502"/>
        <w:spacing w:after="0" w:line="277" w:lineRule="auto"/>
        <w:tabs>
          <w:tab w:leader="none" w:pos="5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the Loan (or the relevant part of it) or the relevant Unpaid Sum,</w:t>
      </w:r>
    </w:p>
    <w:p>
      <w:pPr>
        <w:spacing w:after="0" w:line="170" w:lineRule="exact"/>
        <w:rPr>
          <w:sz w:val="20"/>
          <w:szCs w:val="20"/>
          <w:color w:val="auto"/>
        </w:rPr>
      </w:pPr>
    </w:p>
    <w:p>
      <w:pPr>
        <w:ind w:left="2" w:right="260"/>
        <w:spacing w:after="0" w:line="277" w:lineRule="auto"/>
        <w:rPr>
          <w:sz w:val="20"/>
          <w:szCs w:val="20"/>
          <w:color w:val="auto"/>
        </w:rPr>
      </w:pPr>
      <w:r>
        <w:rPr>
          <w:rFonts w:ascii="Arial" w:cs="Arial" w:eastAsia="Arial" w:hAnsi="Arial"/>
          <w:sz w:val="18"/>
          <w:szCs w:val="18"/>
          <w:color w:val="auto"/>
        </w:rPr>
        <w:t>each as of 11:00 a.m. on the relevant Quotation Day, and if that applicable interpolated rate is less than zero (0), Interpolated Screen Rate shall be deemed to be zero (0).</w:t>
      </w:r>
    </w:p>
    <w:p>
      <w:pPr>
        <w:spacing w:after="0" w:line="166" w:lineRule="exact"/>
        <w:rPr>
          <w:sz w:val="20"/>
          <w:szCs w:val="20"/>
          <w:color w:val="auto"/>
        </w:rPr>
      </w:pPr>
    </w:p>
    <w:p>
      <w:pPr>
        <w:ind w:left="2" w:right="780"/>
        <w:spacing w:after="0" w:line="312" w:lineRule="auto"/>
        <w:rPr>
          <w:sz w:val="20"/>
          <w:szCs w:val="20"/>
          <w:color w:val="auto"/>
        </w:rPr>
      </w:pPr>
      <w:r>
        <w:rPr>
          <w:rFonts w:ascii="Arial" w:cs="Arial" w:eastAsia="Arial" w:hAnsi="Arial"/>
          <w:sz w:val="17"/>
          <w:szCs w:val="17"/>
          <w:b w:val="1"/>
          <w:bCs w:val="1"/>
          <w:color w:val="auto"/>
        </w:rPr>
        <w:t xml:space="preserve">Inventory of Hazardous Materials </w:t>
      </w:r>
      <w:r>
        <w:rPr>
          <w:rFonts w:ascii="Arial" w:cs="Arial" w:eastAsia="Arial" w:hAnsi="Arial"/>
          <w:sz w:val="17"/>
          <w:szCs w:val="17"/>
          <w:color w:val="auto"/>
        </w:rPr>
        <w:t>means a document describing the materials present in the Ship’s structure and equipment that may be</w:t>
      </w:r>
      <w:r>
        <w:rPr>
          <w:rFonts w:ascii="Arial" w:cs="Arial" w:eastAsia="Arial" w:hAnsi="Arial"/>
          <w:sz w:val="17"/>
          <w:szCs w:val="17"/>
          <w:b w:val="1"/>
          <w:bCs w:val="1"/>
          <w:color w:val="auto"/>
        </w:rPr>
        <w:t xml:space="preserve"> </w:t>
      </w:r>
      <w:r>
        <w:rPr>
          <w:rFonts w:ascii="Arial" w:cs="Arial" w:eastAsia="Arial" w:hAnsi="Arial"/>
          <w:sz w:val="17"/>
          <w:szCs w:val="17"/>
          <w:color w:val="auto"/>
        </w:rPr>
        <w:t>hazardous to human health or the environment along with their respective location and approximate quantities.</w:t>
      </w:r>
    </w:p>
    <w:p>
      <w:pPr>
        <w:spacing w:after="0" w:line="144"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67" w:name="page268"/>
    <w:bookmarkEnd w:id="267"/>
    <w:p>
      <w:pPr>
        <w:ind w:left="2"/>
        <w:spacing w:after="0"/>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in relation to the Facility the earlier of:</w:t>
      </w:r>
    </w:p>
    <w:p>
      <w:pPr>
        <w:spacing w:after="0" w:line="229" w:lineRule="exact"/>
        <w:rPr>
          <w:sz w:val="20"/>
          <w:szCs w:val="20"/>
          <w:color w:val="auto"/>
        </w:rPr>
      </w:pPr>
    </w:p>
    <w:p>
      <w:pPr>
        <w:ind w:left="502" w:hanging="502"/>
        <w:spacing w:after="0"/>
        <w:tabs>
          <w:tab w:leader="none" w:pos="50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Utilisation Date;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30 September 2020.</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or such later date as may be approved by all the Lenders.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277" w:lineRule="auto"/>
        <w:tabs>
          <w:tab w:leader="none" w:pos="5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70" w:lineRule="exact"/>
        <w:rPr>
          <w:rFonts w:ascii="Arial" w:cs="Arial" w:eastAsia="Arial" w:hAnsi="Arial"/>
          <w:sz w:val="18"/>
          <w:szCs w:val="18"/>
          <w:color w:val="auto"/>
        </w:rPr>
      </w:pPr>
    </w:p>
    <w:p>
      <w:pPr>
        <w:jc w:val="both"/>
        <w:ind w:left="502" w:right="280" w:hanging="502"/>
        <w:spacing w:after="0" w:line="342" w:lineRule="auto"/>
        <w:tabs>
          <w:tab w:leader="none" w:pos="51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23" w:lineRule="exact"/>
        <w:rPr>
          <w:rFonts w:ascii="Arial" w:cs="Arial" w:eastAsia="Arial" w:hAnsi="Arial"/>
          <w:sz w:val="16"/>
          <w:szCs w:val="16"/>
          <w:color w:val="auto"/>
        </w:rPr>
      </w:pPr>
    </w:p>
    <w:p>
      <w:pPr>
        <w:ind w:left="522" w:hanging="522"/>
        <w:spacing w:after="0"/>
        <w:tabs>
          <w:tab w:leader="none" w:pos="52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other matters which are set out as qualifications or reservations as to matters of law of general application in a Legal Opinion.</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225" w:lineRule="exact"/>
        <w:rPr>
          <w:rFonts w:ascii="Arial" w:cs="Arial" w:eastAsia="Arial" w:hAnsi="Arial"/>
          <w:sz w:val="18"/>
          <w:szCs w:val="18"/>
          <w:color w:val="auto"/>
        </w:rPr>
      </w:pPr>
    </w:p>
    <w:p>
      <w:pPr>
        <w:ind w:left="502" w:right="20" w:hanging="502"/>
        <w:spacing w:after="0" w:line="277" w:lineRule="auto"/>
        <w:tabs>
          <w:tab w:leader="none" w:pos="5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30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the Loan or any part of it or any Unpaid Sum:</w:t>
      </w:r>
    </w:p>
    <w:p>
      <w:pPr>
        <w:spacing w:after="0" w:line="229" w:lineRule="exact"/>
        <w:rPr>
          <w:sz w:val="20"/>
          <w:szCs w:val="20"/>
          <w:color w:val="auto"/>
        </w:rPr>
      </w:pPr>
    </w:p>
    <w:p>
      <w:pPr>
        <w:ind w:left="502" w:right="260" w:hanging="502"/>
        <w:spacing w:after="0" w:line="277" w:lineRule="auto"/>
        <w:tabs>
          <w:tab w:leader="none" w:pos="50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applicable Screen Rate as of 11:00 a.m. on the relevant Quotation Day for the currency of the Loan for a period equal in length to the Interest Period for the Loan (or the relevant part of it) or Unpaid Sum;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if, in either case, that rate is less than zero, LIBOR shall be deemed to be zero (0).</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or to be made under the Facility or the principal amount outstanding for the time being of that loan.</w:t>
      </w:r>
    </w:p>
    <w:p>
      <w:pPr>
        <w:spacing w:after="0" w:line="225" w:lineRule="exact"/>
        <w:rPr>
          <w:sz w:val="20"/>
          <w:szCs w:val="20"/>
          <w:color w:val="auto"/>
        </w:rPr>
      </w:pPr>
    </w:p>
    <w:p>
      <w:pPr>
        <w:ind w:left="2" w:right="640"/>
        <w:spacing w:after="0" w:line="312" w:lineRule="auto"/>
        <w:rPr>
          <w:sz w:val="20"/>
          <w:szCs w:val="20"/>
          <w:color w:val="auto"/>
        </w:rPr>
      </w:pPr>
      <w:r>
        <w:rPr>
          <w:rFonts w:ascii="Arial" w:cs="Arial" w:eastAsia="Arial" w:hAnsi="Arial"/>
          <w:sz w:val="17"/>
          <w:szCs w:val="17"/>
          <w:b w:val="1"/>
          <w:bCs w:val="1"/>
          <w:color w:val="auto"/>
        </w:rPr>
        <w:t xml:space="preserve">Loss Payable Clauses </w:t>
      </w:r>
      <w:r>
        <w:rPr>
          <w:rFonts w:ascii="Arial" w:cs="Arial" w:eastAsia="Arial" w:hAnsi="Arial"/>
          <w:sz w:val="17"/>
          <w:szCs w:val="17"/>
          <w:color w:val="auto"/>
        </w:rPr>
        <w:t>means, in relation to the Ship, the provisions concerning payment of claims under the Ship’s Insurances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to the Ship’s General Assignment or (as the case may be) Deed of Covenant or in another approved form.</w:t>
      </w:r>
    </w:p>
    <w:p>
      <w:pPr>
        <w:spacing w:after="0" w:line="140" w:lineRule="exact"/>
        <w:rPr>
          <w:sz w:val="20"/>
          <w:szCs w:val="20"/>
          <w:color w:val="auto"/>
        </w:rPr>
      </w:pPr>
    </w:p>
    <w:p>
      <w:pPr>
        <w:ind w:left="2" w:right="120"/>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 (including VAT)</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actions, proceedings, penalties, fines, damages, judgments, orders or other sanctions.</w:t>
      </w:r>
    </w:p>
    <w:p>
      <w:pPr>
        <w:spacing w:after="0" w:line="166"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22"/>
          </w:cols>
          <w:pgMar w:left="838" w:top="337" w:right="439" w:bottom="1440" w:gutter="0" w:footer="0" w:header="0"/>
        </w:sectPr>
      </w:pPr>
    </w:p>
    <w:bookmarkStart w:id="268" w:name="page269"/>
    <w:bookmarkEnd w:id="268"/>
    <w:p>
      <w:pPr>
        <w:ind w:left="20" w:right="140"/>
        <w:spacing w:after="0" w:line="282"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 exceed the Major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Amount.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Major Casualty Amount </w:t>
      </w:r>
      <w:r>
        <w:rPr>
          <w:rFonts w:ascii="Arial" w:cs="Arial" w:eastAsia="Arial" w:hAnsi="Arial"/>
          <w:sz w:val="17"/>
          <w:szCs w:val="17"/>
          <w:color w:val="auto"/>
        </w:rPr>
        <w:t>means the amount specified as such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or the equivalent in any other currency.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9" w:lineRule="exact"/>
        <w:rPr>
          <w:sz w:val="20"/>
          <w:szCs w:val="20"/>
          <w:color w:val="auto"/>
        </w:rPr>
      </w:pPr>
    </w:p>
    <w:p>
      <w:pPr>
        <w:ind w:left="520" w:hanging="502"/>
        <w:spacing w:after="0"/>
        <w:tabs>
          <w:tab w:leader="none" w:pos="5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the Loan is not then outstanding, the Lenders whose Commitments aggregate more than 98% of the Total Commitments; or</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any other time, the Lenders whose participations in the Loan aggregate more than 98% of the aggregate Loan.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Management Agreement </w:t>
      </w:r>
      <w:r>
        <w:rPr>
          <w:rFonts w:ascii="Arial" w:cs="Arial" w:eastAsia="Arial" w:hAnsi="Arial"/>
          <w:sz w:val="18"/>
          <w:szCs w:val="18"/>
          <w:color w:val="auto"/>
        </w:rPr>
        <w:t>means any management agreement of the Ship approved pursuant 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the Commercial Manager or the Technical Manager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 them.</w:t>
      </w:r>
    </w:p>
    <w:p>
      <w:pPr>
        <w:spacing w:after="0" w:line="225"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an undertaking by any manager of the Ship to the Security Agent in the agreed form, including if required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w:t>
      </w:r>
    </w:p>
    <w:p>
      <w:pPr>
        <w:spacing w:after="0" w:line="229" w:lineRule="exact"/>
        <w:rPr>
          <w:sz w:val="20"/>
          <w:szCs w:val="20"/>
          <w:color w:val="auto"/>
        </w:rPr>
      </w:pPr>
    </w:p>
    <w:p>
      <w:pPr>
        <w:ind w:left="520" w:hanging="502"/>
        <w:spacing w:after="0"/>
        <w:tabs>
          <w:tab w:leader="none" w:pos="5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time when the Ship is actually employed pursuant to the terms of an Eligible Charter Agreement: 2.75 % per annum; and</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other time: 2.95%.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9" w:lineRule="exact"/>
        <w:rPr>
          <w:sz w:val="20"/>
          <w:szCs w:val="20"/>
          <w:color w:val="auto"/>
        </w:rPr>
      </w:pPr>
    </w:p>
    <w:p>
      <w:pPr>
        <w:ind w:left="520" w:right="340" w:hanging="512"/>
        <w:spacing w:after="0" w:line="277" w:lineRule="auto"/>
        <w:tabs>
          <w:tab w:leader="none" w:pos="52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business, operations, property, financial condition, performance or liabilities of the Borrower and/or any of the Guarantors and/or the Group as a whole; or</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ability of an Obligor or a Manager to perform its obligations under any of the Finance Documents; or</w:t>
      </w:r>
    </w:p>
    <w:p>
      <w:pPr>
        <w:spacing w:after="0" w:line="225" w:lineRule="exact"/>
        <w:rPr>
          <w:rFonts w:ascii="Arial" w:cs="Arial" w:eastAsia="Arial" w:hAnsi="Arial"/>
          <w:sz w:val="18"/>
          <w:szCs w:val="18"/>
          <w:color w:val="auto"/>
        </w:rPr>
      </w:pPr>
    </w:p>
    <w:p>
      <w:pPr>
        <w:ind w:left="520" w:right="60" w:hanging="512"/>
        <w:spacing w:after="0" w:line="263" w:lineRule="auto"/>
        <w:tabs>
          <w:tab w:leader="none" w:pos="53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this Agreement or any of the Finance Documents or any of the rights or remedies of any Finance Party under this Agreement or any of the Finance Documents.</w:t>
      </w:r>
    </w:p>
    <w:p>
      <w:pPr>
        <w:spacing w:after="0" w:line="180" w:lineRule="exact"/>
        <w:rPr>
          <w:sz w:val="20"/>
          <w:szCs w:val="20"/>
          <w:color w:val="auto"/>
        </w:rPr>
      </w:pPr>
    </w:p>
    <w:p>
      <w:pPr>
        <w:ind w:left="20" w:right="260"/>
        <w:spacing w:after="0" w:line="282" w:lineRule="auto"/>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at any time, the amount in dollars which is 130% of the aggregate of (a) the Loan then outstanding and (b) the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Exposure under all Hedging Contracts of all Hedging Providers at that time.</w:t>
      </w:r>
    </w:p>
    <w:p>
      <w:pPr>
        <w:spacing w:after="0" w:line="162"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a first priority or (as the case may be) first preferred mortgage of the Ship in the agreed form by the Borrower in favour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Agent and/or any of the other Finance Parties.</w:t>
      </w:r>
    </w:p>
    <w:p>
      <w:pPr>
        <w:spacing w:after="0" w:line="162"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the Ship, the period from the date the Mortgage is executed and registered until the date such Mortgage 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and discharged or, if earlier, its Total Loss Date.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0"/>
          </w:cols>
          <w:pgMar w:left="820" w:top="337" w:right="379" w:bottom="1440" w:gutter="0" w:footer="0" w:header="0"/>
        </w:sectPr>
      </w:pPr>
    </w:p>
    <w:bookmarkStart w:id="269" w:name="page270"/>
    <w:bookmarkEnd w:id="269"/>
    <w:p>
      <w:pPr>
        <w:ind w:left="2"/>
        <w:spacing w:after="0"/>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w:t>
      </w:r>
    </w:p>
    <w:p>
      <w:pPr>
        <w:spacing w:after="0" w:line="229" w:lineRule="exact"/>
        <w:rPr>
          <w:sz w:val="20"/>
          <w:szCs w:val="20"/>
          <w:color w:val="auto"/>
        </w:rPr>
      </w:pPr>
    </w:p>
    <w:p>
      <w:pPr>
        <w:ind w:left="502" w:right="380" w:hanging="502"/>
        <w:spacing w:after="0" w:line="277" w:lineRule="auto"/>
        <w:tabs>
          <w:tab w:leader="none" w:pos="50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 subject to Sanctions or otherwise a Prohibited Person, excluding any such charterer with whom the relevant chartering activity by the Borrower is not in breach of Sanctions; or</w:t>
      </w:r>
    </w:p>
    <w:p>
      <w:pPr>
        <w:spacing w:after="0" w:line="170" w:lineRule="exact"/>
        <w:rPr>
          <w:rFonts w:ascii="Arial" w:cs="Arial" w:eastAsia="Arial" w:hAnsi="Arial"/>
          <w:sz w:val="18"/>
          <w:szCs w:val="18"/>
          <w:color w:val="auto"/>
        </w:rPr>
      </w:pPr>
    </w:p>
    <w:p>
      <w:pPr>
        <w:ind w:left="502" w:hanging="502"/>
        <w:spacing w:after="0" w:line="311" w:lineRule="auto"/>
        <w:tabs>
          <w:tab w:leader="none" w:pos="512"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the Borrower’s knowledge) is subject to a final, non-appealable order or judgment of a court of 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together, the Borrower and the Guarantors from time to time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the financial year ended on 31 December 2019;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Carriers for the financial year ended on 31 December 2019.</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Mortgage over the Ship;</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Deed of Covenant in relation to the Ship if the Mortgage is in account current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General Assignment in relation to the Ship if the Mortgage is in preferred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Charter Assignment in relation to any of the Ship’s Charter Documents;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Hedging Contract Security; and</w:t>
      </w:r>
    </w:p>
    <w:p>
      <w:pPr>
        <w:spacing w:after="0" w:line="225" w:lineRule="exact"/>
        <w:rPr>
          <w:rFonts w:ascii="Arial" w:cs="Arial" w:eastAsia="Arial" w:hAnsi="Arial"/>
          <w:sz w:val="18"/>
          <w:szCs w:val="18"/>
          <w:color w:val="auto"/>
        </w:rPr>
      </w:pPr>
    </w:p>
    <w:p>
      <w:pPr>
        <w:ind w:left="542" w:hanging="542"/>
        <w:spacing w:after="0"/>
        <w:tabs>
          <w:tab w:leader="none" w:pos="54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Manager’s Undertaking by each Manager of the Ship, including if required under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of the European Union relating to Economic and Monetary Union.</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9" w:lineRule="exact"/>
        <w:rPr>
          <w:sz w:val="20"/>
          <w:szCs w:val="20"/>
          <w:color w:val="auto"/>
        </w:rPr>
      </w:pPr>
    </w:p>
    <w:p>
      <w:pPr>
        <w:ind w:left="502" w:right="80" w:hanging="502"/>
        <w:spacing w:after="0" w:line="286" w:lineRule="auto"/>
        <w:tabs>
          <w:tab w:leader="none" w:pos="50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65"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42"/>
          </w:cols>
          <w:pgMar w:left="838" w:top="337" w:right="419" w:bottom="1440" w:gutter="0" w:footer="0" w:header="0"/>
        </w:sectPr>
      </w:pPr>
    </w:p>
    <w:bookmarkStart w:id="270" w:name="page271"/>
    <w:bookmarkEnd w:id="270"/>
    <w:p>
      <w:pPr>
        <w:ind w:left="502" w:right="640" w:hanging="502"/>
        <w:spacing w:after="0" w:line="277" w:lineRule="auto"/>
        <w:tabs>
          <w:tab w:leader="none" w:pos="51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0" w:lineRule="exact"/>
        <w:rPr>
          <w:rFonts w:ascii="Arial" w:cs="Arial" w:eastAsia="Arial" w:hAnsi="Arial"/>
          <w:sz w:val="18"/>
          <w:szCs w:val="18"/>
          <w:color w:val="auto"/>
        </w:rPr>
      </w:pPr>
    </w:p>
    <w:p>
      <w:pPr>
        <w:ind w:left="1042" w:hanging="531"/>
        <w:spacing w:after="0"/>
        <w:tabs>
          <w:tab w:leader="none" w:pos="104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25" w:lineRule="exact"/>
        <w:rPr>
          <w:rFonts w:ascii="Arial" w:cs="Arial" w:eastAsia="Arial" w:hAnsi="Arial"/>
          <w:sz w:val="18"/>
          <w:szCs w:val="18"/>
          <w:color w:val="auto"/>
        </w:rPr>
      </w:pPr>
    </w:p>
    <w:p>
      <w:pPr>
        <w:ind w:left="1062" w:hanging="551"/>
        <w:spacing w:after="0"/>
        <w:tabs>
          <w:tab w:leader="none" w:pos="106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jc w:val="both"/>
        <w:ind w:left="2" w:right="160"/>
        <w:spacing w:after="0" w:line="261" w:lineRule="auto"/>
        <w:rPr>
          <w:sz w:val="20"/>
          <w:szCs w:val="20"/>
          <w:color w:val="auto"/>
        </w:rPr>
      </w:pPr>
      <w:r>
        <w:rPr>
          <w:rFonts w:ascii="Arial" w:cs="Arial" w:eastAsia="Arial" w:hAnsi="Arial"/>
          <w:sz w:val="18"/>
          <w:szCs w:val="18"/>
          <w:b w:val="1"/>
          <w:bCs w:val="1"/>
          <w:color w:val="auto"/>
        </w:rPr>
        <w:t xml:space="preserve">Permitted Holders </w:t>
      </w:r>
      <w:r>
        <w:rPr>
          <w:rFonts w:ascii="Arial" w:cs="Arial" w:eastAsia="Arial" w:hAnsi="Arial"/>
          <w:sz w:val="18"/>
          <w:szCs w:val="18"/>
          <w:color w:val="auto"/>
        </w:rPr>
        <w:t>means the person disclosed by the Obligors to the Lenders in the negotiation of this Agreement as the person controlling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and composition of the majority of the board of directors of the Parent (as such person is set out in item 7 (headed “Major Shareholder and related party transactions”) of the form 20-F relevant to the annual report submitted to the United States Securities and Exchange Commission by the Parent for the financial year ended on 31 December 2019).</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the Ship:</w:t>
      </w:r>
    </w:p>
    <w:p>
      <w:pPr>
        <w:spacing w:after="0" w:line="229" w:lineRule="exact"/>
        <w:rPr>
          <w:sz w:val="20"/>
          <w:szCs w:val="20"/>
          <w:color w:val="auto"/>
        </w:rPr>
      </w:pPr>
    </w:p>
    <w:p>
      <w:pPr>
        <w:ind w:left="502" w:right="60" w:hanging="502"/>
        <w:spacing w:after="0" w:line="277" w:lineRule="auto"/>
        <w:tabs>
          <w:tab w:leader="none" w:pos="50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the Ship for an amount not exceeding the Major Casualty Amount;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lien on the Ship for master’s, officer’s or crew’s wages outstanding in the ordinary course of its trading;</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lien on the Ship for salvage; and</w:t>
      </w:r>
    </w:p>
    <w:p>
      <w:pPr>
        <w:spacing w:after="0" w:line="225" w:lineRule="exact"/>
        <w:rPr>
          <w:rFonts w:ascii="Arial" w:cs="Arial" w:eastAsia="Arial" w:hAnsi="Arial"/>
          <w:sz w:val="18"/>
          <w:szCs w:val="18"/>
          <w:color w:val="auto"/>
        </w:rPr>
      </w:pPr>
    </w:p>
    <w:p>
      <w:pPr>
        <w:ind w:left="502" w:right="260" w:hanging="502"/>
        <w:spacing w:after="0" w:line="277" w:lineRule="auto"/>
        <w:tabs>
          <w:tab w:leader="none" w:pos="51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the Ship,</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securing obligations not more than 30 days overdue.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the Ship, any Security Interest over it which is:</w:t>
      </w:r>
    </w:p>
    <w:p>
      <w:pPr>
        <w:spacing w:after="0" w:line="229" w:lineRule="exact"/>
        <w:rPr>
          <w:sz w:val="20"/>
          <w:szCs w:val="20"/>
          <w:color w:val="auto"/>
        </w:rPr>
      </w:pPr>
    </w:p>
    <w:p>
      <w:pPr>
        <w:ind w:left="502" w:hanging="502"/>
        <w:spacing w:after="0"/>
        <w:tabs>
          <w:tab w:leader="none" w:pos="50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granted to secure the Existing Indebtedness, provided that it is discharged upon Utilisation;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25" w:lineRule="exact"/>
        <w:rPr>
          <w:rFonts w:ascii="Arial" w:cs="Arial" w:eastAsia="Arial" w:hAnsi="Arial"/>
          <w:sz w:val="18"/>
          <w:szCs w:val="18"/>
          <w:color w:val="auto"/>
        </w:rPr>
      </w:pPr>
    </w:p>
    <w:p>
      <w:pPr>
        <w:ind w:left="502" w:right="500" w:hanging="502"/>
        <w:spacing w:after="0" w:line="277" w:lineRule="auto"/>
        <w:tabs>
          <w:tab w:leader="none" w:pos="51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Borrower is actively pursuing a claim or defending such proceedings or arbitration in good faith; or</w:t>
      </w:r>
    </w:p>
    <w:p>
      <w:pPr>
        <w:spacing w:after="0" w:line="170" w:lineRule="exact"/>
        <w:rPr>
          <w:rFonts w:ascii="Arial" w:cs="Arial" w:eastAsia="Arial" w:hAnsi="Arial"/>
          <w:sz w:val="18"/>
          <w:szCs w:val="18"/>
          <w:color w:val="auto"/>
        </w:rPr>
      </w:pPr>
    </w:p>
    <w:p>
      <w:pPr>
        <w:ind w:left="502" w:right="20" w:hanging="502"/>
        <w:spacing w:after="0" w:line="277" w:lineRule="auto"/>
        <w:tabs>
          <w:tab w:leader="none" w:pos="5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approved by the Majority Lenders,</w:t>
      </w:r>
    </w:p>
    <w:p>
      <w:pPr>
        <w:spacing w:after="0" w:line="225" w:lineRule="exact"/>
        <w:rPr>
          <w:sz w:val="20"/>
          <w:szCs w:val="20"/>
          <w:color w:val="auto"/>
        </w:rPr>
      </w:pPr>
    </w:p>
    <w:p>
      <w:pPr>
        <w:ind w:left="2"/>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(d) and (e) above the relevant liens (or any claim relating thereto) are, in the reasonable opinion of the Agent (acting on the instructions of the Majority Lenders), covered by insurance or, as the case may be, appropriate reserves have been made.</w:t>
      </w:r>
    </w:p>
    <w:p>
      <w:pPr>
        <w:spacing w:after="0" w:line="146"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42"/>
          </w:cols>
          <w:pgMar w:left="838" w:top="341" w:right="419" w:bottom="1440" w:gutter="0" w:footer="0" w:header="0"/>
        </w:sectPr>
      </w:pPr>
    </w:p>
    <w:bookmarkStart w:id="271" w:name="page272"/>
    <w:bookmarkEnd w:id="271"/>
    <w:p>
      <w:pPr>
        <w:ind w:left="2" w:right="200"/>
        <w:spacing w:after="0" w:line="282"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 whose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environment is regulated or penalised by Environmental Laws.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 to such term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right="180"/>
        <w:spacing w:after="0" w:line="282"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the Ship and a Charter, a letter by the Security Agent addressed to, and acknowledged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 relevant Charterer in the agreed form (if such letter is required pursuant to such Charter).</w:t>
      </w:r>
    </w:p>
    <w:p>
      <w:pPr>
        <w:spacing w:after="0" w:line="162" w:lineRule="exact"/>
        <w:rPr>
          <w:sz w:val="20"/>
          <w:szCs w:val="20"/>
          <w:color w:val="auto"/>
        </w:rPr>
      </w:pPr>
    </w:p>
    <w:p>
      <w:pPr>
        <w:ind w:left="2" w:right="80"/>
        <w:spacing w:after="0" w:line="258"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days on which banks are open for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83" w:lineRule="exact"/>
        <w:rPr>
          <w:sz w:val="20"/>
          <w:szCs w:val="20"/>
          <w:color w:val="auto"/>
        </w:rPr>
      </w:pPr>
    </w:p>
    <w:p>
      <w:pPr>
        <w:ind w:left="2" w:right="280"/>
        <w:spacing w:after="0" w:line="282"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 any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under any relevant Security Document.</w:t>
      </w:r>
    </w:p>
    <w:p>
      <w:pPr>
        <w:spacing w:after="0" w:line="162"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and agreements contained in the document entitled “Basel III: Finalising post-crisis reforms” published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Basel Committee on Banking Supervision in December 2017, as amended, supplemented or restated.</w:t>
      </w:r>
    </w:p>
    <w:p>
      <w:pPr>
        <w:spacing w:after="0" w:line="162" w:lineRule="exact"/>
        <w:rPr>
          <w:sz w:val="20"/>
          <w:szCs w:val="20"/>
          <w:color w:val="auto"/>
        </w:rPr>
      </w:pPr>
    </w:p>
    <w:p>
      <w:pPr>
        <w:ind w:left="2" w:right="60"/>
        <w:spacing w:after="0" w:line="266" w:lineRule="auto"/>
        <w:rPr>
          <w:sz w:val="20"/>
          <w:szCs w:val="20"/>
          <w:color w:val="auto"/>
        </w:rPr>
      </w:pPr>
      <w:r>
        <w:rPr>
          <w:rFonts w:ascii="Arial" w:cs="Arial" w:eastAsia="Arial" w:hAnsi="Arial"/>
          <w:sz w:val="18"/>
          <w:szCs w:val="18"/>
          <w:b w:val="1"/>
          <w:bCs w:val="1"/>
          <w:color w:val="auto"/>
        </w:rPr>
        <w:t xml:space="preserve">Reformed 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law or regulation which implements Reformed Basel III (whether such implementation, application or compliance is by a government, regulator, Finance Party or any of its Affiliates).</w:t>
      </w:r>
    </w:p>
    <w:p>
      <w:pPr>
        <w:spacing w:after="0" w:line="176" w:lineRule="exact"/>
        <w:rPr>
          <w:sz w:val="20"/>
          <w:szCs w:val="20"/>
          <w:color w:val="auto"/>
        </w:rPr>
      </w:pPr>
    </w:p>
    <w:p>
      <w:pPr>
        <w:ind w:left="2" w:right="620"/>
        <w:spacing w:after="0" w:line="347" w:lineRule="auto"/>
        <w:rPr>
          <w:sz w:val="20"/>
          <w:szCs w:val="20"/>
          <w:color w:val="auto"/>
        </w:rPr>
      </w:pPr>
      <w:r>
        <w:rPr>
          <w:rFonts w:ascii="Arial" w:cs="Arial" w:eastAsia="Arial" w:hAnsi="Arial"/>
          <w:sz w:val="16"/>
          <w:szCs w:val="16"/>
          <w:b w:val="1"/>
          <w:bCs w:val="1"/>
          <w:color w:val="auto"/>
        </w:rPr>
        <w:t xml:space="preserve">Registry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relation to the Ship, such registrar, commissioner or representative of the relevant Flag State who is duly authorised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empowered to register the relevant Ship, the Borrower’s title to the Ship and the relevant Mortgage under the laws of its Flag State.</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9" w:lineRule="exact"/>
        <w:rPr>
          <w:sz w:val="20"/>
          <w:szCs w:val="20"/>
          <w:color w:val="auto"/>
        </w:rPr>
      </w:pPr>
    </w:p>
    <w:p>
      <w:pPr>
        <w:ind w:left="502" w:hanging="502"/>
        <w:spacing w:after="0"/>
        <w:tabs>
          <w:tab w:leader="none" w:pos="5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First Repayment Date;</w:t>
      </w:r>
    </w:p>
    <w:p>
      <w:pPr>
        <w:spacing w:after="0" w:line="225" w:lineRule="exact"/>
        <w:rPr>
          <w:sz w:val="20"/>
          <w:szCs w:val="20"/>
          <w:color w:val="auto"/>
        </w:rPr>
      </w:pPr>
    </w:p>
    <w:p>
      <w:pPr>
        <w:ind w:left="502" w:hanging="502"/>
        <w:spacing w:after="0"/>
        <w:tabs>
          <w:tab w:leader="none" w:pos="50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of the dates falling three monthly intervals thereafter up to but not including the Final Repayment Date;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Final Repayment Date.</w:t>
      </w:r>
    </w:p>
    <w:p>
      <w:pPr>
        <w:spacing w:after="0" w:line="221" w:lineRule="exact"/>
        <w:rPr>
          <w:sz w:val="20"/>
          <w:szCs w:val="20"/>
          <w:color w:val="auto"/>
        </w:rPr>
      </w:pPr>
    </w:p>
    <w:p>
      <w:pPr>
        <w:ind w:left="2"/>
        <w:spacing w:after="0" w:line="314" w:lineRule="auto"/>
        <w:rPr>
          <w:sz w:val="20"/>
          <w:szCs w:val="20"/>
          <w:color w:val="auto"/>
        </w:rPr>
      </w:pPr>
      <w:r>
        <w:rPr>
          <w:rFonts w:ascii="Arial" w:cs="Arial" w:eastAsia="Arial" w:hAnsi="Arial"/>
          <w:sz w:val="16"/>
          <w:szCs w:val="16"/>
          <w:b w:val="1"/>
          <w:bCs w:val="1"/>
          <w:color w:val="auto"/>
        </w:rPr>
        <w:t xml:space="preserve">Repeating Representations </w:t>
      </w:r>
      <w:r>
        <w:rPr>
          <w:rFonts w:ascii="Arial" w:cs="Arial" w:eastAsia="Arial" w:hAnsi="Arial"/>
          <w:sz w:val="16"/>
          <w:szCs w:val="16"/>
          <w:color w:val="auto"/>
        </w:rPr>
        <w:t>means each of the representations and warranties set out in clauses 18.1 (</w:t>
      </w:r>
      <w:r>
        <w:rPr>
          <w:rFonts w:ascii="Arial" w:cs="Arial" w:eastAsia="Arial" w:hAnsi="Arial"/>
          <w:sz w:val="16"/>
          <w:szCs w:val="16"/>
          <w:i w:val="1"/>
          <w:iCs w:val="1"/>
          <w:color w:val="auto"/>
        </w:rPr>
        <w:t>Status</w:t>
      </w:r>
      <w:r>
        <w:rPr>
          <w:rFonts w:ascii="Arial" w:cs="Arial" w:eastAsia="Arial" w:hAnsi="Arial"/>
          <w:sz w:val="16"/>
          <w:szCs w:val="16"/>
          <w:color w:val="auto"/>
        </w:rPr>
        <w:t>) to 18.10 (</w:t>
      </w:r>
      <w:r>
        <w:rPr>
          <w:rFonts w:ascii="Arial" w:cs="Arial" w:eastAsia="Arial" w:hAnsi="Arial"/>
          <w:sz w:val="16"/>
          <w:szCs w:val="16"/>
          <w:i w:val="1"/>
          <w:iCs w:val="1"/>
          <w:color w:val="auto"/>
        </w:rPr>
        <w:t>Ranking and effectiveness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security</w:t>
      </w:r>
      <w:r>
        <w:rPr>
          <w:rFonts w:ascii="Arial" w:cs="Arial" w:eastAsia="Arial" w:hAnsi="Arial"/>
          <w:sz w:val="16"/>
          <w:szCs w:val="16"/>
          <w:color w:val="auto"/>
        </w:rPr>
        <w:t>), 18.16 (</w:t>
      </w:r>
      <w:r>
        <w:rPr>
          <w:rFonts w:ascii="Arial" w:cs="Arial" w:eastAsia="Arial" w:hAnsi="Arial"/>
          <w:sz w:val="16"/>
          <w:szCs w:val="16"/>
          <w:i w:val="1"/>
          <w:iCs w:val="1"/>
          <w:color w:val="auto"/>
        </w:rPr>
        <w:t>No breach of laws</w:t>
      </w:r>
      <w:r>
        <w:rPr>
          <w:rFonts w:ascii="Arial" w:cs="Arial" w:eastAsia="Arial" w:hAnsi="Arial"/>
          <w:sz w:val="16"/>
          <w:szCs w:val="16"/>
          <w:color w:val="auto"/>
        </w:rPr>
        <w:t>), 18.19 (</w:t>
      </w:r>
      <w:r>
        <w:rPr>
          <w:rFonts w:ascii="Arial" w:cs="Arial" w:eastAsia="Arial" w:hAnsi="Arial"/>
          <w:sz w:val="16"/>
          <w:szCs w:val="16"/>
          <w:i w:val="1"/>
          <w:iCs w:val="1"/>
          <w:color w:val="auto"/>
        </w:rPr>
        <w:t>Anti-corruption law</w:t>
      </w:r>
      <w:r>
        <w:rPr>
          <w:rFonts w:ascii="Arial" w:cs="Arial" w:eastAsia="Arial" w:hAnsi="Arial"/>
          <w:sz w:val="16"/>
          <w:szCs w:val="16"/>
          <w:color w:val="auto"/>
        </w:rPr>
        <w:t>), 18.20 (</w:t>
      </w:r>
      <w:r>
        <w:rPr>
          <w:rFonts w:ascii="Arial" w:cs="Arial" w:eastAsia="Arial" w:hAnsi="Arial"/>
          <w:sz w:val="16"/>
          <w:szCs w:val="16"/>
          <w:i w:val="1"/>
          <w:iCs w:val="1"/>
          <w:color w:val="auto"/>
        </w:rPr>
        <w:t>Security and Financial Indebtedness</w:t>
      </w:r>
      <w:r>
        <w:rPr>
          <w:rFonts w:ascii="Arial" w:cs="Arial" w:eastAsia="Arial" w:hAnsi="Arial"/>
          <w:sz w:val="16"/>
          <w:szCs w:val="16"/>
          <w:color w:val="auto"/>
        </w:rPr>
        <w:t>), 18.21(a)</w:t>
      </w:r>
      <w:r>
        <w:rPr>
          <w:rFonts w:ascii="Arial" w:cs="Arial" w:eastAsia="Arial" w:hAnsi="Arial"/>
          <w:sz w:val="16"/>
          <w:szCs w:val="16"/>
          <w:i w:val="1"/>
          <w:iCs w:val="1"/>
          <w:color w:val="auto"/>
        </w:rPr>
        <w:t xml:space="preserve"> (Ownership of assets and shares</w:t>
      </w:r>
      <w:r>
        <w:rPr>
          <w:rFonts w:ascii="Arial" w:cs="Arial" w:eastAsia="Arial" w:hAnsi="Arial"/>
          <w:sz w:val="16"/>
          <w:szCs w:val="16"/>
          <w:color w:val="auto"/>
        </w:rPr>
        <w:t>), 18.22 (</w:t>
      </w:r>
      <w:r>
        <w:rPr>
          <w:rFonts w:ascii="Arial" w:cs="Arial" w:eastAsia="Arial" w:hAnsi="Arial"/>
          <w:sz w:val="16"/>
          <w:szCs w:val="16"/>
          <w:i w:val="1"/>
          <w:iCs w:val="1"/>
          <w:color w:val="auto"/>
        </w:rPr>
        <w:t>Shares</w:t>
      </w:r>
      <w:r>
        <w:rPr>
          <w:rFonts w:ascii="Arial" w:cs="Arial" w:eastAsia="Arial" w:hAnsi="Arial"/>
          <w:sz w:val="16"/>
          <w:szCs w:val="16"/>
          <w:color w:val="auto"/>
        </w:rPr>
        <w:t>), 18.24 (</w:t>
      </w:r>
      <w:r>
        <w:rPr>
          <w:rFonts w:ascii="Arial" w:cs="Arial" w:eastAsia="Arial" w:hAnsi="Arial"/>
          <w:sz w:val="16"/>
          <w:szCs w:val="16"/>
          <w:i w:val="1"/>
          <w:iCs w:val="1"/>
          <w:color w:val="auto"/>
        </w:rPr>
        <w:t>No adverse consequences</w:t>
      </w:r>
      <w:r>
        <w:rPr>
          <w:rFonts w:ascii="Arial" w:cs="Arial" w:eastAsia="Arial" w:hAnsi="Arial"/>
          <w:sz w:val="16"/>
          <w:szCs w:val="16"/>
          <w:color w:val="auto"/>
        </w:rPr>
        <w:t>), 18.25 (</w:t>
      </w:r>
      <w:r>
        <w:rPr>
          <w:rFonts w:ascii="Arial" w:cs="Arial" w:eastAsia="Arial" w:hAnsi="Arial"/>
          <w:sz w:val="16"/>
          <w:szCs w:val="16"/>
          <w:i w:val="1"/>
          <w:iCs w:val="1"/>
          <w:color w:val="auto"/>
        </w:rPr>
        <w:t>Copies of documents</w:t>
      </w:r>
      <w:r>
        <w:rPr>
          <w:rFonts w:ascii="Arial" w:cs="Arial" w:eastAsia="Arial" w:hAnsi="Arial"/>
          <w:sz w:val="16"/>
          <w:szCs w:val="16"/>
          <w:color w:val="auto"/>
        </w:rPr>
        <w:t>), 18.27 (</w:t>
      </w:r>
      <w:r>
        <w:rPr>
          <w:rFonts w:ascii="Arial" w:cs="Arial" w:eastAsia="Arial" w:hAnsi="Arial"/>
          <w:sz w:val="16"/>
          <w:szCs w:val="16"/>
          <w:i w:val="1"/>
          <w:iCs w:val="1"/>
          <w:color w:val="auto"/>
        </w:rPr>
        <w:t>No immunity</w:t>
      </w:r>
      <w:r>
        <w:rPr>
          <w:rFonts w:ascii="Arial" w:cs="Arial" w:eastAsia="Arial" w:hAnsi="Arial"/>
          <w:sz w:val="16"/>
          <w:szCs w:val="16"/>
          <w:color w:val="auto"/>
        </w:rPr>
        <w:t>) and 18.31 (</w:t>
      </w:r>
      <w:r>
        <w:rPr>
          <w:rFonts w:ascii="Arial" w:cs="Arial" w:eastAsia="Arial" w:hAnsi="Arial"/>
          <w:sz w:val="16"/>
          <w:szCs w:val="16"/>
          <w:i w:val="1"/>
          <w:iCs w:val="1"/>
          <w:color w:val="auto"/>
        </w:rPr>
        <w:t>Money Laundering</w:t>
      </w:r>
      <w:r>
        <w:rPr>
          <w:rFonts w:ascii="Arial" w:cs="Arial" w:eastAsia="Arial" w:hAnsi="Arial"/>
          <w:sz w:val="16"/>
          <w:szCs w:val="16"/>
          <w:color w:val="auto"/>
        </w:rPr>
        <w:t>).</w:t>
      </w:r>
    </w:p>
    <w:p>
      <w:pPr>
        <w:spacing w:after="0" w:line="146"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2"/>
          </w:cols>
          <w:pgMar w:left="838" w:top="337" w:right="399" w:bottom="1440" w:gutter="0" w:footer="0" w:header="0"/>
        </w:sectPr>
      </w:pPr>
    </w:p>
    <w:bookmarkStart w:id="272" w:name="page273"/>
    <w:bookmarkEnd w:id="272"/>
    <w:p>
      <w:pPr>
        <w:ind w:left="2" w:right="880"/>
        <w:spacing w:after="0" w:line="282"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any compensation paid or payable by a government entity for the requisition for title, confiscation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compulsory acquisition of the Ship.</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List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right="20"/>
        <w:spacing w:after="0" w:line="256"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 who takes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w:t>
      </w:r>
    </w:p>
    <w:p>
      <w:pPr>
        <w:spacing w:after="0" w:line="187" w:lineRule="exact"/>
        <w:rPr>
          <w:sz w:val="20"/>
          <w:szCs w:val="20"/>
          <w:color w:val="auto"/>
        </w:rPr>
      </w:pPr>
    </w:p>
    <w:p>
      <w:pPr>
        <w:ind w:left="2" w:right="240"/>
        <w:spacing w:after="0" w:line="282"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Finance Documents.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225" w:lineRule="exact"/>
        <w:rPr>
          <w:rFonts w:ascii="Arial" w:cs="Arial" w:eastAsia="Arial" w:hAnsi="Arial"/>
          <w:sz w:val="18"/>
          <w:szCs w:val="18"/>
          <w:color w:val="auto"/>
        </w:rPr>
      </w:pPr>
    </w:p>
    <w:p>
      <w:pPr>
        <w:ind w:left="502" w:right="200" w:hanging="502"/>
        <w:spacing w:after="0" w:line="277" w:lineRule="auto"/>
        <w:tabs>
          <w:tab w:leader="none" w:pos="51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66" w:lineRule="exact"/>
        <w:rPr>
          <w:sz w:val="20"/>
          <w:szCs w:val="20"/>
          <w:color w:val="auto"/>
        </w:rPr>
      </w:pPr>
    </w:p>
    <w:p>
      <w:pPr>
        <w:ind w:left="2" w:right="540"/>
        <w:spacing w:after="0" w:line="282"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 securing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any person or any other agreement or arrangement having a similar effect.</w:t>
      </w:r>
    </w:p>
    <w:p>
      <w:pPr>
        <w:spacing w:after="0" w:line="162"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at any time, the amount in dollars which, at that time, is the aggregate of (a) the value of the Ship to the extent it has not then</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Total Loss (or, if less, the maximum amount capable of being secured by the Mortgages over the Ship) and (b) the value of any additional security then held by the Security Agent or any other Finance Party provided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in each case as most recently determined in accordance with this Agreement.</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w:t>
      </w:r>
      <w:r>
        <w:rPr>
          <w:rFonts w:ascii="Arial" w:cs="Arial" w:eastAsia="Arial" w:hAnsi="Arial"/>
          <w:sz w:val="18"/>
          <w:szCs w:val="18"/>
          <w:color w:val="auto"/>
        </w:rPr>
        <w:t>means the ship described in Schedule 2 (</w:t>
      </w:r>
      <w:r>
        <w:rPr>
          <w:rFonts w:ascii="Arial" w:cs="Arial" w:eastAsia="Arial" w:hAnsi="Arial"/>
          <w:sz w:val="18"/>
          <w:szCs w:val="18"/>
          <w:i w:val="1"/>
          <w:iCs w:val="1"/>
          <w:color w:val="auto"/>
        </w:rPr>
        <w:t>Ship information).</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Ship Representations </w:t>
      </w:r>
      <w:r>
        <w:rPr>
          <w:rFonts w:ascii="Arial" w:cs="Arial" w:eastAsia="Arial" w:hAnsi="Arial"/>
          <w:sz w:val="16"/>
          <w:szCs w:val="16"/>
          <w:color w:val="auto"/>
        </w:rPr>
        <w:t>means each of the representations and warranties set out in clauses 18.28 (</w:t>
      </w:r>
      <w:r>
        <w:rPr>
          <w:rFonts w:ascii="Arial" w:cs="Arial" w:eastAsia="Arial" w:hAnsi="Arial"/>
          <w:sz w:val="16"/>
          <w:szCs w:val="16"/>
          <w:i w:val="1"/>
          <w:iCs w:val="1"/>
          <w:color w:val="auto"/>
        </w:rPr>
        <w:t>Ship status</w:t>
      </w:r>
      <w:r>
        <w:rPr>
          <w:rFonts w:ascii="Arial" w:cs="Arial" w:eastAsia="Arial" w:hAnsi="Arial"/>
          <w:sz w:val="16"/>
          <w:szCs w:val="16"/>
          <w:color w:val="auto"/>
        </w:rPr>
        <w:t>) and 18.29 (</w:t>
      </w:r>
      <w:r>
        <w:rPr>
          <w:rFonts w:ascii="Arial" w:cs="Arial" w:eastAsia="Arial" w:hAnsi="Arial"/>
          <w:sz w:val="16"/>
          <w:szCs w:val="16"/>
          <w:i w:val="1"/>
          <w:iCs w:val="1"/>
          <w:color w:val="auto"/>
        </w:rPr>
        <w:t>Ship’s employment</w:t>
      </w:r>
      <w:r>
        <w:rPr>
          <w:rFonts w:ascii="Arial" w:cs="Arial" w:eastAsia="Arial" w:hAnsi="Arial"/>
          <w:sz w:val="16"/>
          <w:szCs w:val="16"/>
          <w:color w:val="auto"/>
        </w:rPr>
        <w:t>).</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29" w:lineRule="exact"/>
        <w:rPr>
          <w:sz w:val="20"/>
          <w:szCs w:val="20"/>
          <w:color w:val="auto"/>
        </w:rPr>
      </w:pPr>
    </w:p>
    <w:p>
      <w:pPr>
        <w:ind w:left="502" w:hanging="502"/>
        <w:spacing w:after="0"/>
        <w:tabs>
          <w:tab w:leader="none" w:pos="5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221" w:lineRule="exact"/>
        <w:rPr>
          <w:sz w:val="20"/>
          <w:szCs w:val="20"/>
          <w:color w:val="auto"/>
        </w:rPr>
      </w:pPr>
    </w:p>
    <w:p>
      <w:pPr>
        <w:ind w:left="2" w:right="320"/>
        <w:spacing w:after="0" w:line="282"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66"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37" w:right="359" w:bottom="1440" w:gutter="0" w:footer="0" w:header="0"/>
        </w:sectPr>
      </w:pPr>
    </w:p>
    <w:bookmarkStart w:id="273" w:name="page274"/>
    <w:bookmarkEnd w:id="273"/>
    <w:p>
      <w:pPr>
        <w:jc w:val="both"/>
        <w:ind w:left="2" w:right="100"/>
        <w:spacing w:after="0" w:line="266"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(a) GasLog LNG Services Ltd. of Clarendon House, 2 Church Street, Hamilton HM11, Bermuda, (b)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 is an Approved Technical Manager or (c) another manager appointed as the technical manager of the Ship by the Borrower in accordance with clause 22.3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$97,500,000 as at the date of this Agreement.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the Ship, its:</w:t>
      </w:r>
    </w:p>
    <w:p>
      <w:pPr>
        <w:spacing w:after="0" w:line="229" w:lineRule="exact"/>
        <w:rPr>
          <w:sz w:val="20"/>
          <w:szCs w:val="20"/>
          <w:color w:val="auto"/>
        </w:rPr>
      </w:pPr>
    </w:p>
    <w:p>
      <w:pPr>
        <w:ind w:left="502" w:hanging="502"/>
        <w:spacing w:after="0"/>
        <w:tabs>
          <w:tab w:leader="none" w:pos="50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2" w:hanging="502"/>
        <w:spacing w:after="0"/>
        <w:tabs>
          <w:tab w:leader="none" w:pos="50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the case of an actual total loss, the date it happened or, if such date is not known, the date on which the vessel was last reported;</w:t>
      </w:r>
    </w:p>
    <w:p>
      <w:pPr>
        <w:spacing w:after="0" w:line="236" w:lineRule="exact"/>
        <w:rPr>
          <w:rFonts w:ascii="Arial" w:cs="Arial" w:eastAsia="Arial" w:hAnsi="Arial"/>
          <w:sz w:val="17"/>
          <w:szCs w:val="17"/>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25" w:lineRule="exact"/>
        <w:rPr>
          <w:rFonts w:ascii="Arial" w:cs="Arial" w:eastAsia="Arial" w:hAnsi="Arial"/>
          <w:sz w:val="18"/>
          <w:szCs w:val="18"/>
          <w:color w:val="auto"/>
        </w:rPr>
      </w:pPr>
    </w:p>
    <w:p>
      <w:pPr>
        <w:ind w:left="1022" w:right="280" w:hanging="511"/>
        <w:spacing w:after="0" w:line="277" w:lineRule="auto"/>
        <w:tabs>
          <w:tab w:leader="none" w:pos="105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70" w:lineRule="exact"/>
        <w:rPr>
          <w:rFonts w:ascii="Arial" w:cs="Arial" w:eastAsia="Arial" w:hAnsi="Arial"/>
          <w:sz w:val="18"/>
          <w:szCs w:val="18"/>
          <w:color w:val="auto"/>
        </w:rPr>
      </w:pPr>
    </w:p>
    <w:p>
      <w:pPr>
        <w:ind w:left="1062" w:hanging="551"/>
        <w:spacing w:after="0"/>
        <w:tabs>
          <w:tab w:leader="none" w:pos="106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date upon which a binding agreement as to such compromised or arranged total loss has been entered into by the vessel’s insurers;</w:t>
      </w:r>
    </w:p>
    <w:p>
      <w:pPr>
        <w:spacing w:after="0" w:line="248" w:lineRule="exact"/>
        <w:rPr>
          <w:rFonts w:ascii="Arial" w:cs="Arial" w:eastAsia="Arial" w:hAnsi="Arial"/>
          <w:sz w:val="16"/>
          <w:szCs w:val="16"/>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2" w:hanging="502"/>
        <w:spacing w:after="0"/>
        <w:tabs>
          <w:tab w:leader="none" w:pos="50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date falling 150 days after its Total Loss Date; and</w:t>
      </w:r>
    </w:p>
    <w:p>
      <w:pPr>
        <w:spacing w:after="0" w:line="225" w:lineRule="exact"/>
        <w:rPr>
          <w:rFonts w:ascii="Arial" w:cs="Arial" w:eastAsia="Arial" w:hAnsi="Arial"/>
          <w:sz w:val="18"/>
          <w:szCs w:val="18"/>
          <w:color w:val="auto"/>
        </w:rPr>
      </w:pPr>
    </w:p>
    <w:p>
      <w:pPr>
        <w:ind w:left="502" w:right="280" w:hanging="502"/>
        <w:spacing w:after="0" w:line="277" w:lineRule="auto"/>
        <w:tabs>
          <w:tab w:leader="none" w:pos="51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6" w:lineRule="exact"/>
        <w:rPr>
          <w:sz w:val="20"/>
          <w:szCs w:val="20"/>
          <w:color w:val="auto"/>
        </w:rPr>
      </w:pPr>
    </w:p>
    <w:p>
      <w:pPr>
        <w:ind w:left="2" w:right="380"/>
        <w:spacing w:after="0" w:line="312" w:lineRule="auto"/>
        <w:rPr>
          <w:sz w:val="20"/>
          <w:szCs w:val="20"/>
          <w:color w:val="auto"/>
        </w:rPr>
      </w:pPr>
      <w:r>
        <w:rPr>
          <w:rFonts w:ascii="Arial" w:cs="Arial" w:eastAsia="Arial" w:hAnsi="Arial"/>
          <w:sz w:val="17"/>
          <w:szCs w:val="17"/>
          <w:b w:val="1"/>
          <w:bCs w:val="1"/>
          <w:color w:val="auto"/>
        </w:rPr>
        <w:t xml:space="preserve">Transfer Certificate </w:t>
      </w:r>
      <w:r>
        <w:rPr>
          <w:rFonts w:ascii="Arial" w:cs="Arial" w:eastAsia="Arial" w:hAnsi="Arial"/>
          <w:sz w:val="17"/>
          <w:szCs w:val="17"/>
          <w:color w:val="auto"/>
        </w:rPr>
        <w:t>means a certificate substantially in the form set out in Schedule 6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or any other form agreed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Agent and the Borrower or, at any time after the occurrence of an Event of Default, required by the Agent.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9" w:lineRule="exact"/>
        <w:rPr>
          <w:sz w:val="20"/>
          <w:szCs w:val="20"/>
          <w:color w:val="auto"/>
        </w:rPr>
      </w:pPr>
    </w:p>
    <w:p>
      <w:pPr>
        <w:ind w:left="502" w:hanging="502"/>
        <w:spacing w:after="0"/>
        <w:tabs>
          <w:tab w:leader="none" w:pos="50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225"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37" w:right="359" w:bottom="1440" w:gutter="0" w:footer="0" w:header="0"/>
        </w:sectPr>
      </w:pPr>
    </w:p>
    <w:bookmarkStart w:id="274" w:name="page275"/>
    <w:bookmarkEnd w:id="274"/>
    <w:p>
      <w:pPr>
        <w:spacing w:after="0" w:line="36" w:lineRule="exact"/>
        <w:rPr>
          <w:sz w:val="20"/>
          <w:szCs w:val="20"/>
          <w:color w:val="auto"/>
        </w:rPr>
      </w:pPr>
    </w:p>
    <w:p>
      <w:pPr>
        <w:ind w:left="520" w:right="60"/>
        <w:spacing w:after="0" w:line="282"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 any rate 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9" w:lineRule="exact"/>
        <w:rPr>
          <w:sz w:val="20"/>
          <w:szCs w:val="20"/>
          <w:color w:val="auto"/>
        </w:rPr>
      </w:pPr>
    </w:p>
    <w:p>
      <w:pPr>
        <w:ind w:left="1020" w:hanging="502"/>
        <w:spacing w:after="0"/>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25" w:lineRule="exact"/>
        <w:rPr>
          <w:rFonts w:ascii="Arial" w:cs="Arial" w:eastAsia="Arial" w:hAnsi="Arial"/>
          <w:sz w:val="18"/>
          <w:szCs w:val="18"/>
          <w:color w:val="auto"/>
        </w:rPr>
      </w:pPr>
    </w:p>
    <w:p>
      <w:pPr>
        <w:ind w:left="1020" w:right="400" w:hanging="502"/>
        <w:spacing w:after="0" w:line="342" w:lineRule="auto"/>
        <w:tabs>
          <w:tab w:leader="none" w:pos="103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23" w:lineRule="exact"/>
        <w:rPr>
          <w:rFonts w:ascii="Arial" w:cs="Arial" w:eastAsia="Arial" w:hAnsi="Arial"/>
          <w:sz w:val="16"/>
          <w:szCs w:val="16"/>
          <w:color w:val="auto"/>
        </w:rPr>
      </w:pPr>
    </w:p>
    <w:p>
      <w:pPr>
        <w:ind w:left="1020" w:right="400" w:hanging="502"/>
        <w:spacing w:after="0" w:line="308" w:lineRule="auto"/>
        <w:tabs>
          <w:tab w:leader="none" w:pos="103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46" w:lineRule="exact"/>
        <w:rPr>
          <w:rFonts w:ascii="Arial" w:cs="Arial" w:eastAsia="Arial" w:hAnsi="Arial"/>
          <w:sz w:val="17"/>
          <w:szCs w:val="17"/>
          <w:color w:val="auto"/>
        </w:rPr>
      </w:pPr>
    </w:p>
    <w:p>
      <w:pPr>
        <w:jc w:val="both"/>
        <w:ind w:left="1020" w:right="420" w:hanging="502"/>
        <w:spacing w:after="0" w:line="342" w:lineRule="auto"/>
        <w:tabs>
          <w:tab w:leader="none" w:pos="103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9" w:lineRule="exact"/>
        <w:rPr>
          <w:sz w:val="20"/>
          <w:szCs w:val="20"/>
          <w:color w:val="auto"/>
        </w:rPr>
      </w:pPr>
    </w:p>
    <w:p>
      <w:pPr>
        <w:ind w:left="1020" w:hanging="502"/>
        <w:spacing w:after="0"/>
        <w:tabs>
          <w:tab w:leader="none" w:pos="10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if it is resident for tax purposes in the US; or</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 Obligor some or all of whose payments under the Finance Documents are from sources within the US for US federal income tax purposes.</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the Loan under the Facility.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the Utilisation is made.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9" w:lineRule="exact"/>
        <w:rPr>
          <w:sz w:val="20"/>
          <w:szCs w:val="20"/>
          <w:color w:val="auto"/>
        </w:rPr>
      </w:pPr>
    </w:p>
    <w:p>
      <w:pPr>
        <w:ind w:left="1020" w:right="240" w:hanging="502"/>
        <w:spacing w:after="0" w:line="277" w:lineRule="auto"/>
        <w:tabs>
          <w:tab w:leader="none" w:pos="10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70" w:lineRule="exact"/>
        <w:rPr>
          <w:rFonts w:ascii="Arial" w:cs="Arial" w:eastAsia="Arial" w:hAnsi="Arial"/>
          <w:sz w:val="18"/>
          <w:szCs w:val="18"/>
          <w:color w:val="auto"/>
        </w:rPr>
      </w:pPr>
    </w:p>
    <w:p>
      <w:pPr>
        <w:ind w:left="1020" w:right="80" w:hanging="502"/>
        <w:spacing w:after="0" w:line="277" w:lineRule="auto"/>
        <w:tabs>
          <w:tab w:leader="none" w:pos="103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1040" w:hanging="532"/>
        <w:spacing w:after="0"/>
        <w:tabs>
          <w:tab w:leader="none" w:pos="10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25" w:lineRule="exact"/>
        <w:rPr>
          <w:sz w:val="20"/>
          <w:szCs w:val="20"/>
          <w:color w:val="auto"/>
        </w:rPr>
      </w:pPr>
    </w:p>
    <w:p>
      <w:pPr>
        <w:ind w:left="1660" w:right="180" w:hanging="631"/>
        <w:spacing w:after="0" w:line="277" w:lineRule="auto"/>
        <w:tabs>
          <w:tab w:leader="none" w:pos="167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660" w:right="720" w:hanging="631"/>
        <w:spacing w:after="0" w:line="347" w:lineRule="auto"/>
        <w:tabs>
          <w:tab w:leader="none" w:pos="168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Finance Document</w:t>
      </w:r>
      <w:r>
        <w:rPr>
          <w:rFonts w:ascii="Arial" w:cs="Arial" w:eastAsia="Arial" w:hAnsi="Arial"/>
          <w:sz w:val="16"/>
          <w:szCs w:val="16"/>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19" w:lineRule="exact"/>
        <w:rPr>
          <w:rFonts w:ascii="Arial" w:cs="Arial" w:eastAsia="Arial" w:hAnsi="Arial"/>
          <w:sz w:val="16"/>
          <w:szCs w:val="16"/>
          <w:color w:val="auto"/>
        </w:rPr>
      </w:pPr>
    </w:p>
    <w:p>
      <w:pPr>
        <w:ind w:left="1700" w:hanging="671"/>
        <w:spacing w:after="0"/>
        <w:tabs>
          <w:tab w:leader="none" w:pos="1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25" w:lineRule="exact"/>
        <w:rPr>
          <w:rFonts w:ascii="Arial" w:cs="Arial" w:eastAsia="Arial" w:hAnsi="Arial"/>
          <w:sz w:val="18"/>
          <w:szCs w:val="18"/>
          <w:color w:val="auto"/>
        </w:rPr>
      </w:pPr>
    </w:p>
    <w:p>
      <w:pPr>
        <w:ind w:left="1680" w:hanging="651"/>
        <w:spacing w:after="0"/>
        <w:tabs>
          <w:tab w:leader="none" w:pos="1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225" w:lineRule="exact"/>
        <w:rPr>
          <w:rFonts w:ascii="Arial" w:cs="Arial" w:eastAsia="Arial" w:hAnsi="Arial"/>
          <w:sz w:val="18"/>
          <w:szCs w:val="18"/>
          <w:color w:val="auto"/>
        </w:rPr>
      </w:pPr>
    </w:p>
    <w:p>
      <w:pPr>
        <w:ind w:left="1680" w:hanging="651"/>
        <w:spacing w:after="0"/>
        <w:tabs>
          <w:tab w:leader="none" w:pos="1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25" w:lineRule="exact"/>
        <w:rPr>
          <w:rFonts w:ascii="Arial" w:cs="Arial" w:eastAsia="Arial" w:hAnsi="Arial"/>
          <w:sz w:val="18"/>
          <w:szCs w:val="18"/>
          <w:color w:val="auto"/>
        </w:rPr>
      </w:pPr>
    </w:p>
    <w:p>
      <w:pPr>
        <w:ind w:left="1660" w:right="160" w:hanging="631"/>
        <w:spacing w:after="0" w:line="308" w:lineRule="auto"/>
        <w:tabs>
          <w:tab w:leader="none" w:pos="167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42" w:lineRule="exact"/>
        <w:rPr>
          <w:rFonts w:ascii="Arial" w:cs="Arial" w:eastAsia="Arial" w:hAnsi="Arial"/>
          <w:sz w:val="17"/>
          <w:szCs w:val="17"/>
          <w:color w:val="auto"/>
        </w:rPr>
      </w:pPr>
    </w:p>
    <w:p>
      <w:pPr>
        <w:ind w:left="1660" w:right="100" w:hanging="631"/>
        <w:spacing w:after="0" w:line="289" w:lineRule="auto"/>
        <w:tabs>
          <w:tab w:leader="none" w:pos="168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two or more persons are </w:t>
      </w:r>
      <w:r>
        <w:rPr>
          <w:rFonts w:ascii="Arial" w:cs="Arial" w:eastAsia="Arial" w:hAnsi="Arial"/>
          <w:sz w:val="17"/>
          <w:szCs w:val="17"/>
          <w:b w:val="1"/>
          <w:bCs w:val="1"/>
          <w:color w:val="auto"/>
        </w:rPr>
        <w:t>acting in concert</w:t>
      </w:r>
      <w:r>
        <w:rPr>
          <w:rFonts w:ascii="Arial" w:cs="Arial" w:eastAsia="Arial" w:hAnsi="Arial"/>
          <w:sz w:val="17"/>
          <w:szCs w:val="17"/>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57" w:lineRule="exact"/>
        <w:rPr>
          <w:rFonts w:ascii="Arial" w:cs="Arial" w:eastAsia="Arial" w:hAnsi="Arial"/>
          <w:sz w:val="17"/>
          <w:szCs w:val="17"/>
          <w:color w:val="auto"/>
        </w:rPr>
      </w:pPr>
    </w:p>
    <w:p>
      <w:pPr>
        <w:ind w:left="1700" w:hanging="671"/>
        <w:spacing w:after="0"/>
        <w:tabs>
          <w:tab w:leader="none" w:pos="1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2040" w:right="640" w:hanging="373"/>
        <w:spacing w:after="0" w:line="277" w:lineRule="auto"/>
        <w:tabs>
          <w:tab w:leader="none" w:pos="204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170" w:lineRule="exact"/>
        <w:rPr>
          <w:rFonts w:ascii="Arial" w:cs="Arial" w:eastAsia="Arial" w:hAnsi="Arial"/>
          <w:sz w:val="18"/>
          <w:szCs w:val="18"/>
          <w:color w:val="auto"/>
        </w:rPr>
      </w:pPr>
    </w:p>
    <w:p>
      <w:pPr>
        <w:jc w:val="both"/>
        <w:ind w:left="2040" w:right="200" w:hanging="373"/>
        <w:spacing w:after="0" w:line="342" w:lineRule="auto"/>
        <w:tabs>
          <w:tab w:leader="none" w:pos="2046" w:val="left"/>
        </w:tabs>
        <w:numPr>
          <w:ilvl w:val="1"/>
          <w:numId w:val="219"/>
        </w:numPr>
        <w:rPr>
          <w:rFonts w:ascii="Arial" w:cs="Arial" w:eastAsia="Arial" w:hAnsi="Arial"/>
          <w:sz w:val="16"/>
          <w:szCs w:val="16"/>
          <w:color w:val="auto"/>
        </w:rPr>
      </w:pPr>
      <w:r>
        <w:rPr>
          <w:rFonts w:ascii="Arial" w:cs="Arial" w:eastAsia="Arial" w:hAnsi="Arial"/>
          <w:sz w:val="16"/>
          <w:szCs w:val="16"/>
          <w:color w:val="auto"/>
        </w:rPr>
        <w:t>prior to the execution of a Finance Document, the form of such Finance Document separately agreed in writing between the Agent (acting on the instructions of all the Lenders) and the Borrower, whether before or after the date of this Agreement, as</w:t>
      </w:r>
    </w:p>
    <w:p>
      <w:pPr>
        <w:sectPr>
          <w:pgSz w:w="11900" w:h="16875" w:orient="portrait"/>
          <w:cols w:equalWidth="0" w:num="1">
            <w:col w:w="11220"/>
          </w:cols>
          <w:pgMar w:left="320" w:top="337" w:right="359" w:bottom="0" w:gutter="0" w:footer="0" w:header="0"/>
        </w:sectPr>
      </w:pPr>
    </w:p>
    <w:bookmarkStart w:id="275" w:name="page276"/>
    <w:bookmarkEnd w:id="275"/>
    <w:p>
      <w:pPr>
        <w:ind w:left="1011" w:right="80"/>
        <w:spacing w:after="0" w:line="277" w:lineRule="auto"/>
        <w:rPr>
          <w:sz w:val="20"/>
          <w:szCs w:val="20"/>
          <w:color w:val="auto"/>
        </w:rPr>
      </w:pPr>
      <w:r>
        <w:rPr>
          <w:rFonts w:ascii="Arial" w:cs="Arial" w:eastAsia="Arial" w:hAnsi="Arial"/>
          <w:sz w:val="18"/>
          <w:szCs w:val="18"/>
          <w:color w:val="auto"/>
        </w:rPr>
        <w:t>the form in which that Finance Document is to be executed or another form approved at the request of the Borrower or, if not so agreed or approved, in the form reasonably required by the Agent;</w:t>
      </w:r>
    </w:p>
    <w:p>
      <w:pPr>
        <w:spacing w:after="0" w:line="166" w:lineRule="exact"/>
        <w:rPr>
          <w:sz w:val="20"/>
          <w:szCs w:val="20"/>
          <w:color w:val="auto"/>
        </w:rPr>
      </w:pPr>
    </w:p>
    <w:p>
      <w:pPr>
        <w:ind w:left="631" w:hanging="631"/>
        <w:spacing w:after="0" w:line="258" w:lineRule="auto"/>
        <w:tabs>
          <w:tab w:leader="none" w:pos="644"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approval</w:t>
      </w:r>
      <w:r>
        <w:rPr>
          <w:rFonts w:ascii="Arial" w:cs="Arial" w:eastAsia="Arial" w:hAnsi="Arial"/>
          <w:sz w:val="18"/>
          <w:szCs w:val="18"/>
          <w:color w:val="auto"/>
        </w:rPr>
        <w:t xml:space="preserve"> and </w:t>
      </w:r>
      <w:r>
        <w:rPr>
          <w:rFonts w:ascii="Arial" w:cs="Arial" w:eastAsia="Arial" w:hAnsi="Arial"/>
          <w:sz w:val="18"/>
          <w:szCs w:val="18"/>
          <w:b w:val="1"/>
          <w:bCs w:val="1"/>
          <w:color w:val="auto"/>
        </w:rPr>
        <w:t>approve</w:t>
      </w:r>
      <w:r>
        <w:rPr>
          <w:rFonts w:ascii="Arial" w:cs="Arial" w:eastAsia="Arial" w:hAnsi="Arial"/>
          <w:sz w:val="18"/>
          <w:szCs w:val="18"/>
          <w:color w:val="auto"/>
        </w:rPr>
        <w:t xml:space="preserve"> shall be construed accordingly;</w:t>
      </w:r>
    </w:p>
    <w:p>
      <w:pPr>
        <w:spacing w:after="0" w:line="183" w:lineRule="exact"/>
        <w:rPr>
          <w:rFonts w:ascii="Arial" w:cs="Arial" w:eastAsia="Arial" w:hAnsi="Arial"/>
          <w:sz w:val="18"/>
          <w:szCs w:val="18"/>
          <w:color w:val="auto"/>
        </w:rPr>
      </w:pPr>
    </w:p>
    <w:p>
      <w:pPr>
        <w:ind w:left="651" w:hanging="651"/>
        <w:spacing w:after="0"/>
        <w:tabs>
          <w:tab w:leader="none" w:pos="65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25" w:lineRule="exact"/>
        <w:rPr>
          <w:rFonts w:ascii="Arial" w:cs="Arial" w:eastAsia="Arial" w:hAnsi="Arial"/>
          <w:sz w:val="18"/>
          <w:szCs w:val="18"/>
          <w:color w:val="auto"/>
        </w:rPr>
      </w:pPr>
    </w:p>
    <w:p>
      <w:pPr>
        <w:ind w:left="631" w:right="320" w:hanging="631"/>
        <w:spacing w:after="0" w:line="282" w:lineRule="auto"/>
        <w:tabs>
          <w:tab w:leader="none" w:pos="6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61" w:lineRule="exact"/>
        <w:rPr>
          <w:rFonts w:ascii="Arial" w:cs="Arial" w:eastAsia="Arial" w:hAnsi="Arial"/>
          <w:sz w:val="18"/>
          <w:szCs w:val="18"/>
          <w:color w:val="auto"/>
        </w:rPr>
      </w:pPr>
    </w:p>
    <w:p>
      <w:pPr>
        <w:ind w:left="631" w:right="120" w:hanging="631"/>
        <w:spacing w:after="0" w:line="266" w:lineRule="auto"/>
        <w:tabs>
          <w:tab w:leader="none" w:pos="654"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 vessel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carriage of people and/or cargo or the provision of services by or from it and includes any agreement for pooling or sharing income derived from any such charter or contract;</w:t>
      </w:r>
    </w:p>
    <w:p>
      <w:pPr>
        <w:spacing w:after="0" w:line="175" w:lineRule="exact"/>
        <w:rPr>
          <w:rFonts w:ascii="Arial" w:cs="Arial" w:eastAsia="Arial" w:hAnsi="Arial"/>
          <w:sz w:val="18"/>
          <w:szCs w:val="18"/>
          <w:color w:val="auto"/>
        </w:rPr>
      </w:pPr>
    </w:p>
    <w:p>
      <w:pPr>
        <w:ind w:left="671" w:hanging="671"/>
        <w:spacing w:after="0"/>
        <w:tabs>
          <w:tab w:leader="none" w:pos="67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9" w:lineRule="exact"/>
        <w:rPr>
          <w:rFonts w:ascii="Arial" w:cs="Arial" w:eastAsia="Arial" w:hAnsi="Arial"/>
          <w:sz w:val="18"/>
          <w:szCs w:val="18"/>
          <w:color w:val="auto"/>
        </w:rPr>
      </w:pPr>
    </w:p>
    <w:p>
      <w:pPr>
        <w:ind w:left="1011" w:right="320" w:hanging="373"/>
        <w:spacing w:after="0" w:line="277" w:lineRule="auto"/>
        <w:tabs>
          <w:tab w:leader="none" w:pos="101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70" w:lineRule="exact"/>
        <w:rPr>
          <w:sz w:val="20"/>
          <w:szCs w:val="20"/>
          <w:color w:val="auto"/>
        </w:rPr>
      </w:pPr>
    </w:p>
    <w:p>
      <w:pPr>
        <w:ind w:left="1531" w:right="20" w:hanging="511"/>
        <w:spacing w:after="0" w:line="277" w:lineRule="auto"/>
        <w:tabs>
          <w:tab w:leader="none" w:pos="154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70" w:lineRule="exact"/>
        <w:rPr>
          <w:sz w:val="20"/>
          <w:szCs w:val="20"/>
          <w:color w:val="auto"/>
        </w:rPr>
      </w:pPr>
    </w:p>
    <w:p>
      <w:pPr>
        <w:ind w:left="45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1532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11"/>
          </w:cols>
          <w:pgMar w:left="1349" w:top="125" w:right="439" w:bottom="1440" w:gutter="0" w:footer="0" w:header="0"/>
        </w:sectPr>
      </w:pPr>
    </w:p>
    <w:bookmarkStart w:id="276" w:name="page277"/>
    <w:bookmarkEnd w:id="276"/>
    <w:p>
      <w:pPr>
        <w:ind w:left="1540" w:hanging="511"/>
        <w:spacing w:after="0"/>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25" w:lineRule="exact"/>
        <w:rPr>
          <w:rFonts w:ascii="Arial" w:cs="Arial" w:eastAsia="Arial" w:hAnsi="Arial"/>
          <w:sz w:val="18"/>
          <w:szCs w:val="18"/>
          <w:color w:val="auto"/>
        </w:rPr>
      </w:pPr>
    </w:p>
    <w:p>
      <w:pPr>
        <w:ind w:left="1540" w:right="560" w:hanging="511"/>
        <w:spacing w:after="0" w:line="277" w:lineRule="auto"/>
        <w:tabs>
          <w:tab w:leader="none" w:pos="155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70" w:lineRule="exact"/>
        <w:rPr>
          <w:rFonts w:ascii="Arial" w:cs="Arial" w:eastAsia="Arial" w:hAnsi="Arial"/>
          <w:sz w:val="18"/>
          <w:szCs w:val="18"/>
          <w:color w:val="auto"/>
        </w:rPr>
      </w:pPr>
    </w:p>
    <w:p>
      <w:pPr>
        <w:ind w:left="1020" w:right="20" w:hanging="373"/>
        <w:spacing w:after="0" w:line="255" w:lineRule="auto"/>
        <w:tabs>
          <w:tab w:leader="none" w:pos="102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225" w:lineRule="exact"/>
        <w:rPr>
          <w:sz w:val="20"/>
          <w:szCs w:val="20"/>
          <w:color w:val="auto"/>
        </w:rPr>
      </w:pPr>
    </w:p>
    <w:p>
      <w:pPr>
        <w:jc w:val="both"/>
        <w:ind w:left="640" w:right="100" w:hanging="631"/>
        <w:spacing w:after="0" w:line="266" w:lineRule="auto"/>
        <w:tabs>
          <w:tab w:leader="none" w:pos="6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75" w:lineRule="exact"/>
        <w:rPr>
          <w:rFonts w:ascii="Arial" w:cs="Arial" w:eastAsia="Arial" w:hAnsi="Arial"/>
          <w:sz w:val="18"/>
          <w:szCs w:val="18"/>
          <w:color w:val="auto"/>
        </w:rPr>
      </w:pPr>
    </w:p>
    <w:p>
      <w:pPr>
        <w:ind w:left="640" w:hanging="631"/>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225" w:lineRule="exact"/>
        <w:rPr>
          <w:rFonts w:ascii="Arial" w:cs="Arial" w:eastAsia="Arial" w:hAnsi="Arial"/>
          <w:sz w:val="18"/>
          <w:szCs w:val="18"/>
          <w:color w:val="auto"/>
        </w:rPr>
      </w:pPr>
    </w:p>
    <w:p>
      <w:pPr>
        <w:ind w:left="520" w:right="100" w:hanging="511"/>
        <w:spacing w:after="0" w:line="282" w:lineRule="auto"/>
        <w:tabs>
          <w:tab w:leader="none" w:pos="535"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environment </w:t>
      </w:r>
      <w:r>
        <w:rPr>
          <w:rFonts w:ascii="Arial" w:cs="Arial" w:eastAsia="Arial" w:hAnsi="Arial"/>
          <w:sz w:val="18"/>
          <w:szCs w:val="18"/>
          <w:color w:val="auto"/>
        </w:rPr>
        <w:t>means humans, animals, plants and all other living organisms including the ecological systems of which they form part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following media:</w:t>
      </w:r>
    </w:p>
    <w:p>
      <w:pPr>
        <w:spacing w:after="0" w:line="165" w:lineRule="exact"/>
        <w:rPr>
          <w:rFonts w:ascii="Arial" w:cs="Arial" w:eastAsia="Arial" w:hAnsi="Arial"/>
          <w:sz w:val="18"/>
          <w:szCs w:val="18"/>
          <w:color w:val="auto"/>
        </w:rPr>
      </w:pPr>
    </w:p>
    <w:p>
      <w:pPr>
        <w:ind w:left="1040" w:hanging="521"/>
        <w:spacing w:after="0"/>
        <w:tabs>
          <w:tab w:leader="none" w:pos="10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air (including, without limitation, air within natural or man-made structures, whether above or below ground);</w:t>
      </w:r>
    </w:p>
    <w:p>
      <w:pPr>
        <w:spacing w:after="0" w:line="225" w:lineRule="exact"/>
        <w:rPr>
          <w:rFonts w:ascii="Arial" w:cs="Arial" w:eastAsia="Arial" w:hAnsi="Arial"/>
          <w:sz w:val="18"/>
          <w:szCs w:val="18"/>
          <w:color w:val="auto"/>
        </w:rPr>
      </w:pPr>
    </w:p>
    <w:p>
      <w:pPr>
        <w:ind w:left="1020" w:right="220" w:hanging="501"/>
        <w:spacing w:after="0" w:line="277" w:lineRule="auto"/>
        <w:tabs>
          <w:tab w:leader="none" w:pos="103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water and (including, without limitation, territorial, coastal and inland waters, water under or within land and water in drains and sewers); and</w:t>
      </w:r>
    </w:p>
    <w:p>
      <w:pPr>
        <w:spacing w:after="0" w:line="170" w:lineRule="exact"/>
        <w:rPr>
          <w:rFonts w:ascii="Arial" w:cs="Arial" w:eastAsia="Arial" w:hAnsi="Arial"/>
          <w:sz w:val="18"/>
          <w:szCs w:val="18"/>
          <w:color w:val="auto"/>
        </w:rPr>
      </w:pPr>
    </w:p>
    <w:p>
      <w:pPr>
        <w:ind w:left="1040" w:hanging="521"/>
        <w:spacing w:after="0"/>
        <w:tabs>
          <w:tab w:leader="none" w:pos="10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land (including, without limitation, land under water and the sea bed);</w:t>
      </w:r>
    </w:p>
    <w:p>
      <w:pPr>
        <w:spacing w:after="0" w:line="221" w:lineRule="exact"/>
        <w:rPr>
          <w:rFonts w:ascii="Arial" w:cs="Arial" w:eastAsia="Arial" w:hAnsi="Arial"/>
          <w:sz w:val="18"/>
          <w:szCs w:val="18"/>
          <w:color w:val="auto"/>
        </w:rPr>
      </w:pPr>
    </w:p>
    <w:p>
      <w:pPr>
        <w:ind w:left="640" w:right="60" w:hanging="631"/>
        <w:spacing w:after="0" w:line="303" w:lineRule="auto"/>
        <w:tabs>
          <w:tab w:leader="none" w:pos="65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equivalent</w:t>
      </w:r>
      <w:r>
        <w:rPr>
          <w:rFonts w:ascii="Arial" w:cs="Arial" w:eastAsia="Arial" w:hAnsi="Arial"/>
          <w:sz w:val="16"/>
          <w:szCs w:val="16"/>
          <w:color w:val="auto"/>
        </w:rPr>
        <w:t xml:space="preserve"> of an amount specified in a particular currency (the </w:t>
      </w:r>
      <w:r>
        <w:rPr>
          <w:rFonts w:ascii="Arial" w:cs="Arial" w:eastAsia="Arial" w:hAnsi="Arial"/>
          <w:sz w:val="16"/>
          <w:szCs w:val="16"/>
          <w:b w:val="1"/>
          <w:bCs w:val="1"/>
          <w:color w:val="auto"/>
        </w:rPr>
        <w:t>specified currency amount</w:t>
      </w:r>
      <w:r>
        <w:rPr>
          <w:rFonts w:ascii="Arial" w:cs="Arial" w:eastAsia="Arial" w:hAnsi="Arial"/>
          <w:sz w:val="16"/>
          <w:szCs w:val="16"/>
          <w:color w:val="auto"/>
        </w:rPr>
        <w:t xml:space="preserve">) shall be construed as a reference to the amount of the other relevant currency which can be purchased with the specified currency amount in the London foreign exchange market at or about 11:00 a.m. on the date the calculation falls to be made for spot delivery, as conclusively determined by the Agent (with the relevant exchange rate of any such purchase being the </w:t>
      </w:r>
      <w:r>
        <w:rPr>
          <w:rFonts w:ascii="Arial" w:cs="Arial" w:eastAsia="Arial" w:hAnsi="Arial"/>
          <w:sz w:val="16"/>
          <w:szCs w:val="16"/>
          <w:b w:val="1"/>
          <w:bCs w:val="1"/>
          <w:color w:val="auto"/>
        </w:rPr>
        <w:t>Agent’s spot rate of exchange</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680" w:hanging="671"/>
        <w:spacing w:after="0"/>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25" w:lineRule="exact"/>
        <w:rPr>
          <w:rFonts w:ascii="Arial" w:cs="Arial" w:eastAsia="Arial" w:hAnsi="Arial"/>
          <w:sz w:val="18"/>
          <w:szCs w:val="18"/>
          <w:color w:val="auto"/>
        </w:rPr>
      </w:pPr>
    </w:p>
    <w:p>
      <w:pPr>
        <w:ind w:left="660" w:hanging="651"/>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25" w:lineRule="exact"/>
        <w:rPr>
          <w:rFonts w:ascii="Arial" w:cs="Arial" w:eastAsia="Arial" w:hAnsi="Arial"/>
          <w:sz w:val="18"/>
          <w:szCs w:val="18"/>
          <w:color w:val="auto"/>
        </w:rPr>
      </w:pPr>
    </w:p>
    <w:p>
      <w:pPr>
        <w:ind w:left="640" w:hanging="631"/>
        <w:spacing w:after="0" w:line="261" w:lineRule="auto"/>
        <w:tabs>
          <w:tab w:leader="none" w:pos="63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79" w:lineRule="exact"/>
        <w:rPr>
          <w:rFonts w:ascii="Arial" w:cs="Arial" w:eastAsia="Arial" w:hAnsi="Arial"/>
          <w:sz w:val="18"/>
          <w:szCs w:val="18"/>
          <w:color w:val="auto"/>
        </w:rPr>
      </w:pPr>
    </w:p>
    <w:p>
      <w:pPr>
        <w:ind w:left="640" w:right="140" w:hanging="631"/>
        <w:spacing w:after="0" w:line="282" w:lineRule="auto"/>
        <w:tabs>
          <w:tab w:leader="none" w:pos="649"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actual or contingent;</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1532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1340" w:top="341" w:right="339" w:bottom="1440" w:gutter="0" w:footer="0" w:header="0"/>
        </w:sectPr>
      </w:pPr>
    </w:p>
    <w:bookmarkStart w:id="277" w:name="page278"/>
    <w:bookmarkEnd w:id="277"/>
    <w:p>
      <w:pPr>
        <w:ind w:left="631" w:right="540" w:hanging="631"/>
        <w:spacing w:after="0" w:line="282" w:lineRule="auto"/>
        <w:tabs>
          <w:tab w:leader="none" w:pos="650"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 or the calendar month in which it is to end, except that:</w:t>
      </w:r>
    </w:p>
    <w:p>
      <w:pPr>
        <w:spacing w:after="0" w:line="165" w:lineRule="exact"/>
        <w:rPr>
          <w:rFonts w:ascii="Arial" w:cs="Arial" w:eastAsia="Arial" w:hAnsi="Arial"/>
          <w:sz w:val="18"/>
          <w:szCs w:val="18"/>
          <w:color w:val="auto"/>
        </w:rPr>
      </w:pPr>
    </w:p>
    <w:p>
      <w:pPr>
        <w:ind w:left="1011" w:right="220" w:hanging="373"/>
        <w:spacing w:after="0" w:line="277" w:lineRule="auto"/>
        <w:tabs>
          <w:tab w:leader="none" w:pos="101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70" w:lineRule="exact"/>
        <w:rPr>
          <w:rFonts w:ascii="Arial" w:cs="Arial" w:eastAsia="Arial" w:hAnsi="Arial"/>
          <w:sz w:val="18"/>
          <w:szCs w:val="18"/>
          <w:color w:val="auto"/>
        </w:rPr>
      </w:pPr>
    </w:p>
    <w:p>
      <w:pPr>
        <w:ind w:left="-9" w:right="500" w:firstLine="647"/>
        <w:spacing w:after="0" w:line="498" w:lineRule="auto"/>
        <w:tabs>
          <w:tab w:leader="none" w:pos="101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month, that period shall end on the last Business Day in that month, and the above rules in paragraphs (A) to (B) will only apply to the last month of any period;</w:t>
      </w:r>
    </w:p>
    <w:p>
      <w:pPr>
        <w:spacing w:after="0" w:line="1" w:lineRule="exact"/>
        <w:rPr>
          <w:rFonts w:ascii="Arial" w:cs="Arial" w:eastAsia="Arial" w:hAnsi="Arial"/>
          <w:sz w:val="18"/>
          <w:szCs w:val="18"/>
          <w:color w:val="auto"/>
        </w:rPr>
      </w:pPr>
    </w:p>
    <w:p>
      <w:pPr>
        <w:ind w:left="671" w:hanging="671"/>
        <w:spacing w:after="0"/>
        <w:tabs>
          <w:tab w:leader="none" w:pos="6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225" w:lineRule="exact"/>
        <w:rPr>
          <w:rFonts w:ascii="Arial" w:cs="Arial" w:eastAsia="Arial" w:hAnsi="Arial"/>
          <w:sz w:val="18"/>
          <w:szCs w:val="18"/>
          <w:color w:val="auto"/>
        </w:rPr>
      </w:pPr>
    </w:p>
    <w:p>
      <w:pPr>
        <w:ind w:left="631" w:right="300" w:hanging="631"/>
        <w:spacing w:after="0" w:line="266" w:lineRule="auto"/>
        <w:tabs>
          <w:tab w:leader="none" w:pos="63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75" w:lineRule="exact"/>
        <w:rPr>
          <w:rFonts w:ascii="Arial" w:cs="Arial" w:eastAsia="Arial" w:hAnsi="Arial"/>
          <w:sz w:val="18"/>
          <w:szCs w:val="18"/>
          <w:color w:val="auto"/>
        </w:rPr>
      </w:pPr>
    </w:p>
    <w:p>
      <w:pPr>
        <w:ind w:left="631" w:hanging="631"/>
        <w:spacing w:after="0"/>
        <w:tabs>
          <w:tab w:leader="none" w:pos="631"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pay</w:t>
      </w:r>
      <w:r>
        <w:rPr>
          <w:rFonts w:ascii="Arial" w:cs="Arial" w:eastAsia="Arial" w:hAnsi="Arial"/>
          <w:sz w:val="17"/>
          <w:szCs w:val="17"/>
          <w:color w:val="auto"/>
        </w:rPr>
        <w:t>,</w:t>
      </w:r>
      <w:r>
        <w:rPr>
          <w:rFonts w:ascii="Arial" w:cs="Arial" w:eastAsia="Arial" w:hAnsi="Arial"/>
          <w:sz w:val="17"/>
          <w:szCs w:val="17"/>
          <w:b w:val="1"/>
          <w:bCs w:val="1"/>
          <w:color w:val="auto"/>
        </w:rPr>
        <w:t xml:space="preserve"> prepay </w:t>
      </w:r>
      <w:r>
        <w:rPr>
          <w:rFonts w:ascii="Arial" w:cs="Arial" w:eastAsia="Arial" w:hAnsi="Arial"/>
          <w:sz w:val="17"/>
          <w:szCs w:val="17"/>
          <w:color w:val="auto"/>
        </w:rPr>
        <w:t>or</w:t>
      </w:r>
      <w:r>
        <w:rPr>
          <w:rFonts w:ascii="Arial" w:cs="Arial" w:eastAsia="Arial" w:hAnsi="Arial"/>
          <w:sz w:val="17"/>
          <w:szCs w:val="17"/>
          <w:b w:val="1"/>
          <w:bCs w:val="1"/>
          <w:color w:val="auto"/>
        </w:rPr>
        <w:t xml:space="preserve"> repay </w:t>
      </w:r>
      <w:r>
        <w:rPr>
          <w:rFonts w:ascii="Arial" w:cs="Arial" w:eastAsia="Arial" w:hAnsi="Arial"/>
          <w:sz w:val="17"/>
          <w:szCs w:val="17"/>
          <w:color w:val="auto"/>
        </w:rPr>
        <w:t>in clause 28 (</w:t>
      </w:r>
      <w:r>
        <w:rPr>
          <w:rFonts w:ascii="Arial" w:cs="Arial" w:eastAsia="Arial" w:hAnsi="Arial"/>
          <w:sz w:val="17"/>
          <w:szCs w:val="17"/>
          <w:i w:val="1"/>
          <w:iCs w:val="1"/>
          <w:color w:val="auto"/>
        </w:rPr>
        <w:t>Business restrictions</w:t>
      </w:r>
      <w:r>
        <w:rPr>
          <w:rFonts w:ascii="Arial" w:cs="Arial" w:eastAsia="Arial" w:hAnsi="Arial"/>
          <w:sz w:val="17"/>
          <w:szCs w:val="17"/>
          <w:color w:val="auto"/>
        </w:rPr>
        <w:t>) includes by way of set-off, combination of accounts or otherwise;</w:t>
      </w:r>
    </w:p>
    <w:p>
      <w:pPr>
        <w:spacing w:after="0" w:line="236" w:lineRule="exact"/>
        <w:rPr>
          <w:rFonts w:ascii="Arial" w:cs="Arial" w:eastAsia="Arial" w:hAnsi="Arial"/>
          <w:sz w:val="17"/>
          <w:szCs w:val="17"/>
          <w:color w:val="auto"/>
        </w:rPr>
      </w:pPr>
    </w:p>
    <w:p>
      <w:pPr>
        <w:ind w:left="631" w:hanging="631"/>
        <w:spacing w:after="0" w:line="282" w:lineRule="auto"/>
        <w:tabs>
          <w:tab w:leader="none" w:pos="63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61" w:lineRule="exact"/>
        <w:rPr>
          <w:rFonts w:ascii="Arial" w:cs="Arial" w:eastAsia="Arial" w:hAnsi="Arial"/>
          <w:sz w:val="18"/>
          <w:szCs w:val="18"/>
          <w:color w:val="auto"/>
        </w:rPr>
      </w:pPr>
    </w:p>
    <w:p>
      <w:pPr>
        <w:ind w:left="631" w:right="40" w:hanging="631"/>
        <w:spacing w:after="0" w:line="281" w:lineRule="auto"/>
        <w:tabs>
          <w:tab w:leader="none" w:pos="64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regulation</w:t>
      </w:r>
      <w:r>
        <w:rPr>
          <w:rFonts w:ascii="Arial" w:cs="Arial" w:eastAsia="Arial" w:hAnsi="Arial"/>
          <w:sz w:val="17"/>
          <w:szCs w:val="17"/>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II Regulation or Basel III Regulation or any law or regulation which implements Reformed Basel III, in each case which is applicable to that Lender;</w:t>
      </w:r>
    </w:p>
    <w:p>
      <w:pPr>
        <w:spacing w:after="0" w:line="164" w:lineRule="exact"/>
        <w:rPr>
          <w:rFonts w:ascii="Arial" w:cs="Arial" w:eastAsia="Arial" w:hAnsi="Arial"/>
          <w:sz w:val="17"/>
          <w:szCs w:val="17"/>
          <w:color w:val="auto"/>
        </w:rPr>
      </w:pPr>
    </w:p>
    <w:p>
      <w:pPr>
        <w:ind w:left="631" w:right="320" w:hanging="631"/>
        <w:spacing w:after="0" w:line="282" w:lineRule="auto"/>
        <w:tabs>
          <w:tab w:leader="none" w:pos="654"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whether actual or contingent, present or future, arising under contract or law, or in equity;</w:t>
      </w:r>
    </w:p>
    <w:p>
      <w:pPr>
        <w:spacing w:after="0" w:line="161" w:lineRule="exact"/>
        <w:rPr>
          <w:rFonts w:ascii="Arial" w:cs="Arial" w:eastAsia="Arial" w:hAnsi="Arial"/>
          <w:sz w:val="18"/>
          <w:szCs w:val="18"/>
          <w:color w:val="auto"/>
        </w:rPr>
      </w:pPr>
    </w:p>
    <w:p>
      <w:pPr>
        <w:ind w:left="651" w:hanging="651"/>
        <w:spacing w:after="0"/>
        <w:tabs>
          <w:tab w:leader="none" w:pos="65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shareholder</w:t>
      </w:r>
      <w:r>
        <w:rPr>
          <w:rFonts w:ascii="Arial" w:cs="Arial" w:eastAsia="Arial" w:hAnsi="Arial"/>
          <w:sz w:val="17"/>
          <w:szCs w:val="17"/>
          <w:color w:val="auto"/>
        </w:rPr>
        <w:t xml:space="preserve"> includes any member and (as the case may be) unitholders or holders of any other rights of similar nature;</w:t>
      </w:r>
    </w:p>
    <w:p>
      <w:pPr>
        <w:spacing w:after="0" w:line="236" w:lineRule="exact"/>
        <w:rPr>
          <w:rFonts w:ascii="Arial" w:cs="Arial" w:eastAsia="Arial" w:hAnsi="Arial"/>
          <w:sz w:val="17"/>
          <w:szCs w:val="17"/>
          <w:color w:val="auto"/>
        </w:rPr>
      </w:pPr>
    </w:p>
    <w:p>
      <w:pPr>
        <w:ind w:left="631" w:hanging="631"/>
        <w:spacing w:after="0"/>
        <w:tabs>
          <w:tab w:leader="none" w:pos="631"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25" w:lineRule="exact"/>
        <w:rPr>
          <w:rFonts w:ascii="Arial" w:cs="Arial" w:eastAsia="Arial" w:hAnsi="Arial"/>
          <w:sz w:val="18"/>
          <w:szCs w:val="18"/>
          <w:color w:val="auto"/>
        </w:rPr>
      </w:pPr>
    </w:p>
    <w:p>
      <w:pPr>
        <w:ind w:left="631" w:right="20" w:hanging="631"/>
        <w:spacing w:after="0" w:line="274" w:lineRule="auto"/>
        <w:tabs>
          <w:tab w:leader="none" w:pos="63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(i) the </w:t>
      </w:r>
      <w:r>
        <w:rPr>
          <w:rFonts w:ascii="Arial" w:cs="Arial" w:eastAsia="Arial" w:hAnsi="Arial"/>
          <w:sz w:val="17"/>
          <w:szCs w:val="17"/>
          <w:b w:val="1"/>
          <w:bCs w:val="1"/>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winding up</w:t>
      </w:r>
      <w:r>
        <w:rPr>
          <w:rFonts w:ascii="Arial" w:cs="Arial" w:eastAsia="Arial" w:hAnsi="Arial"/>
          <w:sz w:val="17"/>
          <w:szCs w:val="17"/>
          <w:color w:val="auto"/>
        </w:rPr>
        <w:t xml:space="preserve">, </w:t>
      </w:r>
      <w:r>
        <w:rPr>
          <w:rFonts w:ascii="Arial" w:cs="Arial" w:eastAsia="Arial" w:hAnsi="Arial"/>
          <w:sz w:val="17"/>
          <w:szCs w:val="17"/>
          <w:b w:val="1"/>
          <w:bCs w:val="1"/>
          <w:color w:val="auto"/>
        </w:rPr>
        <w:t>dissolution</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administration</w:t>
      </w:r>
      <w:r>
        <w:rPr>
          <w:rFonts w:ascii="Arial" w:cs="Arial" w:eastAsia="Arial" w:hAnsi="Arial"/>
          <w:sz w:val="17"/>
          <w:szCs w:val="17"/>
          <w:color w:val="auto"/>
        </w:rPr>
        <w:t xml:space="preserve"> of person or (ii) a </w:t>
      </w:r>
      <w:r>
        <w:rPr>
          <w:rFonts w:ascii="Arial" w:cs="Arial" w:eastAsia="Arial" w:hAnsi="Arial"/>
          <w:sz w:val="17"/>
          <w:szCs w:val="17"/>
          <w:b w:val="1"/>
          <w:bCs w:val="1"/>
          <w:color w:val="auto"/>
        </w:rPr>
        <w:t>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administrative 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in the context of insolvency proceedings or security enforcement actions in respect of a person shall be construed so</w:t>
      </w:r>
      <w:r>
        <w:rPr>
          <w:rFonts w:ascii="Arial" w:cs="Arial" w:eastAsia="Arial" w:hAnsi="Arial"/>
          <w:sz w:val="17"/>
          <w:szCs w:val="17"/>
          <w:b w:val="1"/>
          <w:bCs w:val="1"/>
          <w:color w:val="auto"/>
        </w:rPr>
        <w:t xml:space="preserve"> </w:t>
      </w:r>
      <w:r>
        <w:rPr>
          <w:rFonts w:ascii="Arial" w:cs="Arial" w:eastAsia="Arial" w:hAnsi="Arial"/>
          <w:sz w:val="17"/>
          <w:szCs w:val="17"/>
          <w:color w:val="auto"/>
        </w:rPr>
        <w:t>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73" w:lineRule="exact"/>
        <w:rPr>
          <w:rFonts w:ascii="Arial" w:cs="Arial" w:eastAsia="Arial" w:hAnsi="Arial"/>
          <w:sz w:val="17"/>
          <w:szCs w:val="17"/>
          <w:color w:val="auto"/>
        </w:rPr>
      </w:pPr>
    </w:p>
    <w:p>
      <w:pPr>
        <w:ind w:left="651" w:hanging="651"/>
        <w:spacing w:after="0"/>
        <w:tabs>
          <w:tab w:leader="none" w:pos="65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9" w:lineRule="exact"/>
        <w:rPr>
          <w:sz w:val="20"/>
          <w:szCs w:val="20"/>
          <w:color w:val="auto"/>
        </w:rPr>
      </w:pPr>
    </w:p>
    <w:p>
      <w:pPr>
        <w:ind w:left="45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1532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1"/>
          </w:cols>
          <w:pgMar w:left="1349" w:top="337" w:right="419" w:bottom="1440" w:gutter="0" w:footer="0" w:header="0"/>
        </w:sectPr>
      </w:pPr>
    </w:p>
    <w:bookmarkStart w:id="278" w:name="page279"/>
    <w:bookmarkEnd w:id="278"/>
    <w:p>
      <w:pPr>
        <w:ind w:left="1560" w:hanging="651"/>
        <w:spacing w:after="0"/>
        <w:tabs>
          <w:tab w:leader="none" w:pos="15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221" w:lineRule="exact"/>
        <w:rPr>
          <w:rFonts w:ascii="Arial" w:cs="Arial" w:eastAsia="Arial" w:hAnsi="Arial"/>
          <w:sz w:val="18"/>
          <w:szCs w:val="18"/>
          <w:color w:val="auto"/>
        </w:rPr>
      </w:pPr>
    </w:p>
    <w:p>
      <w:pPr>
        <w:ind w:left="900" w:right="40" w:hanging="512"/>
        <w:spacing w:after="0" w:line="282" w:lineRule="auto"/>
        <w:tabs>
          <w:tab w:leader="none" w:pos="91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5" w:lineRule="exact"/>
        <w:rPr>
          <w:rFonts w:ascii="Arial" w:cs="Arial" w:eastAsia="Arial" w:hAnsi="Arial"/>
          <w:sz w:val="18"/>
          <w:szCs w:val="18"/>
          <w:color w:val="auto"/>
        </w:rPr>
      </w:pPr>
    </w:p>
    <w:p>
      <w:pPr>
        <w:ind w:left="900" w:right="420" w:hanging="512"/>
        <w:spacing w:after="0" w:line="263" w:lineRule="auto"/>
        <w:tabs>
          <w:tab w:leader="none" w:pos="91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3" w:lineRule="exact"/>
        <w:rPr>
          <w:rFonts w:ascii="Arial" w:cs="Arial" w:eastAsia="Arial" w:hAnsi="Arial"/>
          <w:sz w:val="18"/>
          <w:szCs w:val="18"/>
          <w:color w:val="auto"/>
        </w:rPr>
      </w:pPr>
    </w:p>
    <w:p>
      <w:pPr>
        <w:ind w:left="920" w:hanging="532"/>
        <w:spacing w:after="0"/>
        <w:tabs>
          <w:tab w:leader="none" w:pos="9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25" w:lineRule="exact"/>
        <w:rPr>
          <w:rFonts w:ascii="Arial" w:cs="Arial" w:eastAsia="Arial" w:hAnsi="Arial"/>
          <w:sz w:val="18"/>
          <w:szCs w:val="18"/>
          <w:color w:val="auto"/>
        </w:rPr>
      </w:pPr>
    </w:p>
    <w:p>
      <w:pPr>
        <w:ind w:left="900" w:right="380" w:hanging="512"/>
        <w:spacing w:after="0" w:line="277" w:lineRule="auto"/>
        <w:tabs>
          <w:tab w:leader="none" w:pos="91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6" w:lineRule="exact"/>
        <w:rPr>
          <w:rFonts w:ascii="Arial" w:cs="Arial" w:eastAsia="Arial" w:hAnsi="Arial"/>
          <w:sz w:val="18"/>
          <w:szCs w:val="18"/>
          <w:color w:val="auto"/>
        </w:rPr>
      </w:pPr>
    </w:p>
    <w:p>
      <w:pPr>
        <w:ind w:left="900" w:hanging="512"/>
        <w:spacing w:after="0" w:line="282" w:lineRule="auto"/>
        <w:tabs>
          <w:tab w:leader="none" w:pos="9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 or remedied to the satisfaction of the Agent (acting on the instructions of all the Lenders).</w:t>
      </w:r>
    </w:p>
    <w:p>
      <w:pPr>
        <w:spacing w:after="0" w:line="165" w:lineRule="exact"/>
        <w:rPr>
          <w:rFonts w:ascii="Arial" w:cs="Arial" w:eastAsia="Arial" w:hAnsi="Arial"/>
          <w:sz w:val="18"/>
          <w:szCs w:val="18"/>
          <w:color w:val="auto"/>
        </w:rPr>
      </w:pPr>
    </w:p>
    <w:p>
      <w:pPr>
        <w:ind w:left="900" w:right="460" w:hanging="512"/>
        <w:spacing w:after="0" w:line="308" w:lineRule="auto"/>
        <w:tabs>
          <w:tab w:leader="none" w:pos="92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229" w:lineRule="exact"/>
        <w:rPr>
          <w:sz w:val="20"/>
          <w:szCs w:val="20"/>
          <w:color w:val="auto"/>
        </w:rPr>
      </w:pPr>
    </w:p>
    <w:p>
      <w:pPr>
        <w:ind w:left="900" w:right="120" w:hanging="512"/>
        <w:spacing w:after="0" w:line="263" w:lineRule="auto"/>
        <w:tabs>
          <w:tab w:leader="none" w:pos="9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183" w:lineRule="exact"/>
        <w:rPr>
          <w:rFonts w:ascii="Arial" w:cs="Arial" w:eastAsia="Arial" w:hAnsi="Arial"/>
          <w:sz w:val="18"/>
          <w:szCs w:val="18"/>
          <w:color w:val="auto"/>
        </w:rPr>
      </w:pPr>
    </w:p>
    <w:p>
      <w:pPr>
        <w:ind w:left="920" w:hanging="532"/>
        <w:spacing w:after="0"/>
        <w:tabs>
          <w:tab w:leader="none" w:pos="9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w:t>
      </w:r>
    </w:p>
    <w:p>
      <w:pPr>
        <w:spacing w:after="0" w:line="225" w:lineRule="exact"/>
        <w:rPr>
          <w:rFonts w:ascii="Arial" w:cs="Arial" w:eastAsia="Arial" w:hAnsi="Arial"/>
          <w:sz w:val="18"/>
          <w:szCs w:val="18"/>
          <w:color w:val="auto"/>
        </w:rPr>
      </w:pPr>
    </w:p>
    <w:p>
      <w:pPr>
        <w:ind w:left="900" w:right="560" w:hanging="512"/>
        <w:spacing w:after="0" w:line="277" w:lineRule="auto"/>
        <w:tabs>
          <w:tab w:leader="none" w:pos="91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Finance Documents</w:t>
      </w:r>
    </w:p>
    <w:p>
      <w:pPr>
        <w:spacing w:after="0" w:line="229" w:lineRule="exact"/>
        <w:rPr>
          <w:sz w:val="20"/>
          <w:szCs w:val="20"/>
          <w:color w:val="auto"/>
        </w:rPr>
      </w:pPr>
    </w:p>
    <w:p>
      <w:pPr>
        <w:ind w:left="400" w:right="140"/>
        <w:spacing w:after="0" w:line="263" w:lineRule="auto"/>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Conflict of documents</w:t>
      </w:r>
    </w:p>
    <w:p>
      <w:pPr>
        <w:spacing w:after="0" w:line="229" w:lineRule="exact"/>
        <w:rPr>
          <w:sz w:val="20"/>
          <w:szCs w:val="20"/>
          <w:color w:val="auto"/>
        </w:rPr>
      </w:pPr>
    </w:p>
    <w:p>
      <w:pPr>
        <w:jc w:val="both"/>
        <w:ind w:left="400" w:right="100"/>
        <w:spacing w:after="0" w:line="311" w:lineRule="auto"/>
        <w:rPr>
          <w:sz w:val="20"/>
          <w:szCs w:val="20"/>
          <w:color w:val="auto"/>
        </w:rPr>
      </w:pPr>
      <w:r>
        <w:rPr>
          <w:rFonts w:ascii="Arial" w:cs="Arial" w:eastAsia="Arial" w:hAnsi="Arial"/>
          <w:sz w:val="16"/>
          <w:szCs w:val="16"/>
          <w:color w:val="auto"/>
        </w:rPr>
        <w:t>The terms of the Finance Documents (other than as relates to the creation and/or perfection of security or to any Hedging Contracts) are subject to the terms of this Agreement and, in the event of any conflict between any provision of this Agreement and any provision of any Finance Document (other than in relation to the creation and/or perfection of security or to any Hedging Contracts) the provisions of this Agreement shall prevail.</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41" w:right="359" w:bottom="1440" w:gutter="0" w:footer="0" w:header="0"/>
        </w:sectPr>
      </w:pPr>
    </w:p>
    <w:bookmarkStart w:id="279" w:name="page280"/>
    <w:bookmarkEnd w:id="279"/>
    <w:p>
      <w:pPr>
        <w:jc w:val="both"/>
        <w:ind w:left="8" w:right="9780" w:hanging="8"/>
        <w:spacing w:after="0" w:line="566" w:lineRule="auto"/>
        <w:tabs>
          <w:tab w:leader="none" w:pos="409"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The Facility 2.1 The Facility</w:t>
      </w:r>
    </w:p>
    <w:p>
      <w:pPr>
        <w:ind w:left="408" w:right="240"/>
        <w:spacing w:after="0" w:line="277" w:lineRule="auto"/>
        <w:rPr>
          <w:sz w:val="20"/>
          <w:szCs w:val="20"/>
          <w:color w:val="auto"/>
        </w:rPr>
      </w:pPr>
      <w:r>
        <w:rPr>
          <w:rFonts w:ascii="Arial" w:cs="Arial" w:eastAsia="Arial" w:hAnsi="Arial"/>
          <w:sz w:val="18"/>
          <w:szCs w:val="18"/>
          <w:color w:val="auto"/>
        </w:rPr>
        <w:t>Subject to the terms of this Agreement, the Lenders make available to the Borrower a term loan facility in an aggregate amount equal to the Total Commitments.</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229" w:lineRule="exact"/>
        <w:rPr>
          <w:sz w:val="20"/>
          <w:szCs w:val="20"/>
          <w:color w:val="auto"/>
        </w:rPr>
      </w:pPr>
    </w:p>
    <w:p>
      <w:pPr>
        <w:jc w:val="both"/>
        <w:ind w:left="908" w:right="60" w:hanging="512"/>
        <w:spacing w:after="0" w:line="263" w:lineRule="auto"/>
        <w:tabs>
          <w:tab w:leader="none" w:pos="91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3" w:lineRule="exact"/>
        <w:rPr>
          <w:rFonts w:ascii="Arial" w:cs="Arial" w:eastAsia="Arial" w:hAnsi="Arial"/>
          <w:sz w:val="18"/>
          <w:szCs w:val="18"/>
          <w:color w:val="auto"/>
        </w:rPr>
      </w:pPr>
    </w:p>
    <w:p>
      <w:pPr>
        <w:ind w:left="908" w:hanging="512"/>
        <w:spacing w:after="0" w:line="273" w:lineRule="auto"/>
        <w:tabs>
          <w:tab w:leader="none" w:pos="92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an Obligor which relates to a Finance Party’s participation in a Facility or its role under a Finance Document (including any such amount payable to the Agent on its behalf) and which is a debt owing to that Finance Party by that Obligor.</w:t>
      </w:r>
    </w:p>
    <w:p>
      <w:pPr>
        <w:spacing w:after="0" w:line="177" w:lineRule="exact"/>
        <w:rPr>
          <w:rFonts w:ascii="Arial" w:cs="Arial" w:eastAsia="Arial" w:hAnsi="Arial"/>
          <w:sz w:val="17"/>
          <w:szCs w:val="17"/>
          <w:color w:val="auto"/>
        </w:rPr>
      </w:pPr>
    </w:p>
    <w:p>
      <w:pPr>
        <w:ind w:left="908" w:right="360" w:hanging="512"/>
        <w:spacing w:after="0" w:line="342" w:lineRule="auto"/>
        <w:tabs>
          <w:tab w:leader="none" w:pos="92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(including clauses 32.30 (</w:t>
      </w:r>
      <w:r>
        <w:rPr>
          <w:rFonts w:ascii="Arial" w:cs="Arial" w:eastAsia="Arial" w:hAnsi="Arial"/>
          <w:sz w:val="16"/>
          <w:szCs w:val="16"/>
          <w:i w:val="1"/>
          <w:iCs w:val="1"/>
          <w:color w:val="auto"/>
        </w:rPr>
        <w:t>All enforcement action through the</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Agent</w:t>
      </w:r>
      <w:r>
        <w:rPr>
          <w:rFonts w:ascii="Arial" w:cs="Arial" w:eastAsia="Arial" w:hAnsi="Arial"/>
          <w:sz w:val="16"/>
          <w:szCs w:val="16"/>
          <w:color w:val="auto"/>
        </w:rPr>
        <w:t>) and 33.2 (</w:t>
      </w:r>
      <w:r>
        <w:rPr>
          <w:rFonts w:ascii="Arial" w:cs="Arial" w:eastAsia="Arial" w:hAnsi="Arial"/>
          <w:sz w:val="16"/>
          <w:szCs w:val="16"/>
          <w:i w:val="1"/>
          <w:iCs w:val="1"/>
          <w:color w:val="auto"/>
        </w:rPr>
        <w:t>Finance Parties acting together</w:t>
      </w:r>
      <w:r>
        <w:rPr>
          <w:rFonts w:ascii="Arial" w:cs="Arial" w:eastAsia="Arial" w:hAnsi="Arial"/>
          <w:sz w:val="16"/>
          <w:szCs w:val="16"/>
          <w:color w:val="auto"/>
        </w:rPr>
        <w:t>)), separately enforce its rights under the Finance Documents.</w:t>
      </w:r>
    </w:p>
    <w:p>
      <w:pPr>
        <w:spacing w:after="0" w:line="120" w:lineRule="exact"/>
        <w:rPr>
          <w:sz w:val="20"/>
          <w:szCs w:val="20"/>
          <w:color w:val="auto"/>
        </w:rPr>
      </w:pPr>
    </w:p>
    <w:p>
      <w:pPr>
        <w:jc w:val="both"/>
        <w:ind w:left="8" w:right="10080" w:hanging="8"/>
        <w:spacing w:after="0" w:line="603" w:lineRule="auto"/>
        <w:tabs>
          <w:tab w:leader="none" w:pos="409" w:val="left"/>
        </w:tabs>
        <w:numPr>
          <w:ilvl w:val="0"/>
          <w:numId w:val="231"/>
        </w:numPr>
        <w:rPr>
          <w:rFonts w:ascii="Arial" w:cs="Arial" w:eastAsia="Arial" w:hAnsi="Arial"/>
          <w:sz w:val="15"/>
          <w:szCs w:val="15"/>
          <w:b w:val="1"/>
          <w:bCs w:val="1"/>
          <w:color w:val="auto"/>
        </w:rPr>
      </w:pPr>
      <w:r>
        <w:rPr>
          <w:rFonts w:ascii="Arial" w:cs="Arial" w:eastAsia="Arial" w:hAnsi="Arial"/>
          <w:sz w:val="15"/>
          <w:szCs w:val="15"/>
          <w:b w:val="1"/>
          <w:bCs w:val="1"/>
          <w:color w:val="auto"/>
        </w:rPr>
        <w:t>Purpose 3.1 Purpose</w:t>
      </w:r>
    </w:p>
    <w:p>
      <w:pPr>
        <w:spacing w:after="0" w:line="1" w:lineRule="exact"/>
        <w:rPr>
          <w:sz w:val="20"/>
          <w:szCs w:val="20"/>
          <w:color w:val="auto"/>
        </w:rPr>
      </w:pPr>
    </w:p>
    <w:p>
      <w:pPr>
        <w:ind w:left="408"/>
        <w:spacing w:after="0"/>
        <w:rPr>
          <w:sz w:val="20"/>
          <w:szCs w:val="20"/>
          <w:color w:val="auto"/>
        </w:rPr>
      </w:pPr>
      <w:r>
        <w:rPr>
          <w:rFonts w:ascii="Arial" w:cs="Arial" w:eastAsia="Arial" w:hAnsi="Arial"/>
          <w:sz w:val="18"/>
          <w:szCs w:val="18"/>
          <w:color w:val="auto"/>
        </w:rPr>
        <w:t>The Borrower shall apply all amounts borrowed under the Facility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Use</w:t>
      </w:r>
    </w:p>
    <w:p>
      <w:pPr>
        <w:spacing w:after="0" w:line="229" w:lineRule="exact"/>
        <w:rPr>
          <w:sz w:val="20"/>
          <w:szCs w:val="20"/>
          <w:color w:val="auto"/>
        </w:rPr>
      </w:pPr>
    </w:p>
    <w:p>
      <w:pPr>
        <w:ind w:left="408" w:right="200" w:hanging="9"/>
        <w:spacing w:after="0" w:line="277" w:lineRule="auto"/>
        <w:rPr>
          <w:sz w:val="20"/>
          <w:szCs w:val="20"/>
          <w:color w:val="auto"/>
        </w:rPr>
      </w:pPr>
      <w:r>
        <w:rPr>
          <w:rFonts w:ascii="Arial" w:cs="Arial" w:eastAsia="Arial" w:hAnsi="Arial"/>
          <w:sz w:val="18"/>
          <w:szCs w:val="18"/>
          <w:color w:val="auto"/>
        </w:rPr>
        <w:t>The Facility shall be made available to the Borrower for application by the Borrower (a) towards refinancing in full the Existing Indebtedness and (b) as to any surplus, towards general corporate and working capital purposes of the Borrower.</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Monitoring</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408" w:hanging="408"/>
        <w:spacing w:after="0"/>
        <w:tabs>
          <w:tab w:leader="none" w:pos="408"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Conditions precedent on delivery of Utilisation Request</w:t>
      </w:r>
    </w:p>
    <w:p>
      <w:pPr>
        <w:spacing w:after="0" w:line="229" w:lineRule="exact"/>
        <w:rPr>
          <w:sz w:val="20"/>
          <w:szCs w:val="20"/>
          <w:color w:val="auto"/>
        </w:rPr>
      </w:pPr>
    </w:p>
    <w:p>
      <w:pPr>
        <w:ind w:left="408" w:right="100"/>
        <w:spacing w:after="0" w:line="342" w:lineRule="auto"/>
        <w:rPr>
          <w:sz w:val="20"/>
          <w:szCs w:val="20"/>
          <w:color w:val="auto"/>
        </w:rPr>
      </w:pPr>
      <w:r>
        <w:rPr>
          <w:rFonts w:ascii="Arial" w:cs="Arial" w:eastAsia="Arial" w:hAnsi="Arial"/>
          <w:sz w:val="16"/>
          <w:szCs w:val="16"/>
          <w:color w:val="auto"/>
        </w:rPr>
        <w:t>The Borrower may not deliver the Utilisation Request unless the Agent, or its duly authorised representative, has received all of the documents and other evidence listed in Part 1 of Schedule 3 (</w:t>
      </w:r>
      <w:r>
        <w:rPr>
          <w:rFonts w:ascii="Arial" w:cs="Arial" w:eastAsia="Arial" w:hAnsi="Arial"/>
          <w:sz w:val="16"/>
          <w:szCs w:val="16"/>
          <w:i w:val="1"/>
          <w:iCs w:val="1"/>
          <w:color w:val="auto"/>
        </w:rPr>
        <w:t>Conditions precedent to Utilisation Request</w:t>
      </w:r>
      <w:r>
        <w:rPr>
          <w:rFonts w:ascii="Arial" w:cs="Arial" w:eastAsia="Arial" w:hAnsi="Arial"/>
          <w:sz w:val="16"/>
          <w:szCs w:val="16"/>
          <w:color w:val="auto"/>
        </w:rPr>
        <w:t>) in from and substance satisfactory to the Agent.</w:t>
      </w:r>
    </w:p>
    <w:p>
      <w:pPr>
        <w:spacing w:after="0" w:line="124"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8"/>
          </w:cols>
          <w:pgMar w:left="432" w:top="337" w:right="359" w:bottom="1440" w:gutter="0" w:footer="0" w:header="0"/>
        </w:sectPr>
      </w:pPr>
    </w:p>
    <w:bookmarkStart w:id="280" w:name="page281"/>
    <w:bookmarkEnd w:id="280"/>
    <w:p>
      <w:pPr>
        <w:ind w:left="8"/>
        <w:spacing w:after="0"/>
        <w:tabs>
          <w:tab w:leader="none" w:pos="388"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Conditions precedent to Utilisation</w:t>
      </w:r>
    </w:p>
    <w:p>
      <w:pPr>
        <w:spacing w:after="0" w:line="229" w:lineRule="exact"/>
        <w:rPr>
          <w:sz w:val="20"/>
          <w:szCs w:val="20"/>
          <w:color w:val="auto"/>
        </w:rPr>
      </w:pPr>
    </w:p>
    <w:p>
      <w:pPr>
        <w:jc w:val="both"/>
        <w:ind w:left="408"/>
        <w:spacing w:after="0" w:line="263" w:lineRule="auto"/>
        <w:rPr>
          <w:sz w:val="20"/>
          <w:szCs w:val="20"/>
          <w:color w:val="auto"/>
        </w:rPr>
      </w:pPr>
      <w:r>
        <w:rPr>
          <w:rFonts w:ascii="Arial" w:cs="Arial" w:eastAsia="Arial" w:hAnsi="Arial"/>
          <w:sz w:val="18"/>
          <w:szCs w:val="18"/>
          <w:color w:val="auto"/>
        </w:rPr>
        <w:t>The Total Commitments may only become available for borrowing under this Agreement if, on or before the Utilisation Date, the Agent, or its duly authorised representative, has received all of the documents and evidence listed in Part 2 of Schedule 3 (</w:t>
      </w:r>
      <w:r>
        <w:rPr>
          <w:rFonts w:ascii="Arial" w:cs="Arial" w:eastAsia="Arial" w:hAnsi="Arial"/>
          <w:sz w:val="18"/>
          <w:szCs w:val="18"/>
          <w:i w:val="1"/>
          <w:iCs w:val="1"/>
          <w:color w:val="auto"/>
        </w:rPr>
        <w:t>Conditions precedent to Utilisation</w:t>
      </w:r>
      <w:r>
        <w:rPr>
          <w:rFonts w:ascii="Arial" w:cs="Arial" w:eastAsia="Arial" w:hAnsi="Arial"/>
          <w:sz w:val="18"/>
          <w:szCs w:val="18"/>
          <w:color w:val="auto"/>
        </w:rPr>
        <w:t>) in form and substance satisfactory to the Agent.</w:t>
      </w:r>
    </w:p>
    <w:p>
      <w:pPr>
        <w:spacing w:after="0" w:line="18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Notice to Lenders</w:t>
      </w:r>
    </w:p>
    <w:p>
      <w:pPr>
        <w:spacing w:after="0" w:line="229" w:lineRule="exact"/>
        <w:rPr>
          <w:sz w:val="20"/>
          <w:szCs w:val="20"/>
          <w:color w:val="auto"/>
        </w:rPr>
      </w:pPr>
    </w:p>
    <w:p>
      <w:pPr>
        <w:ind w:left="408" w:right="60"/>
        <w:spacing w:after="0" w:line="259" w:lineRule="auto"/>
        <w:rPr>
          <w:sz w:val="20"/>
          <w:szCs w:val="20"/>
          <w:color w:val="auto"/>
        </w:rPr>
      </w:pPr>
      <w:r>
        <w:rPr>
          <w:rFonts w:ascii="Arial" w:cs="Arial" w:eastAsia="Arial" w:hAnsi="Arial"/>
          <w:sz w:val="18"/>
          <w:szCs w:val="18"/>
          <w:color w:val="auto"/>
        </w:rPr>
        <w:t>The Agent shall notify the Borrower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83"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Further conditions precedent</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6"/>
          <w:szCs w:val="16"/>
          <w:color w:val="auto"/>
        </w:rPr>
        <w:t>The Lenders will only be obliged to comply with clause 5.4 (</w:t>
      </w:r>
      <w:r>
        <w:rPr>
          <w:rFonts w:ascii="Arial" w:cs="Arial" w:eastAsia="Arial" w:hAnsi="Arial"/>
          <w:sz w:val="16"/>
          <w:szCs w:val="16"/>
          <w:i w:val="1"/>
          <w:iCs w:val="1"/>
          <w:color w:val="auto"/>
        </w:rPr>
        <w:t>Lenders’ participation</w:t>
      </w:r>
      <w:r>
        <w:rPr>
          <w:rFonts w:ascii="Arial" w:cs="Arial" w:eastAsia="Arial" w:hAnsi="Arial"/>
          <w:sz w:val="16"/>
          <w:szCs w:val="16"/>
          <w:color w:val="auto"/>
        </w:rPr>
        <w:t>) if on the date of the Utilisation Request and on the proposed</w:t>
      </w:r>
    </w:p>
    <w:p>
      <w:pPr>
        <w:spacing w:after="0" w:line="46" w:lineRule="exact"/>
        <w:rPr>
          <w:sz w:val="20"/>
          <w:szCs w:val="20"/>
          <w:color w:val="auto"/>
        </w:rPr>
      </w:pPr>
    </w:p>
    <w:p>
      <w:pPr>
        <w:ind w:left="408"/>
        <w:spacing w:after="0"/>
        <w:rPr>
          <w:sz w:val="20"/>
          <w:szCs w:val="20"/>
          <w:color w:val="auto"/>
        </w:rPr>
      </w:pPr>
      <w:r>
        <w:rPr>
          <w:rFonts w:ascii="Arial" w:cs="Arial" w:eastAsia="Arial" w:hAnsi="Arial"/>
          <w:sz w:val="18"/>
          <w:szCs w:val="18"/>
          <w:color w:val="auto"/>
        </w:rPr>
        <w:t>Utilisation Date:</w:t>
      </w:r>
    </w:p>
    <w:p>
      <w:pPr>
        <w:spacing w:after="0" w:line="211" w:lineRule="exact"/>
        <w:rPr>
          <w:sz w:val="20"/>
          <w:szCs w:val="20"/>
          <w:color w:val="auto"/>
        </w:rPr>
      </w:pPr>
    </w:p>
    <w:p>
      <w:pPr>
        <w:ind w:left="1448" w:hanging="531"/>
        <w:spacing w:after="0"/>
        <w:tabs>
          <w:tab w:leader="none" w:pos="144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225" w:lineRule="exact"/>
        <w:rPr>
          <w:rFonts w:ascii="Arial" w:cs="Arial" w:eastAsia="Arial" w:hAnsi="Arial"/>
          <w:sz w:val="18"/>
          <w:szCs w:val="18"/>
          <w:color w:val="auto"/>
        </w:rPr>
      </w:pPr>
    </w:p>
    <w:p>
      <w:pPr>
        <w:ind w:left="1468" w:hanging="551"/>
        <w:spacing w:after="0"/>
        <w:tabs>
          <w:tab w:leader="none" w:pos="146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Repeating Representations are true and all of the other representations set out in clause 18 (</w:t>
      </w:r>
      <w:r>
        <w:rPr>
          <w:rFonts w:ascii="Arial" w:cs="Arial" w:eastAsia="Arial" w:hAnsi="Arial"/>
          <w:sz w:val="17"/>
          <w:szCs w:val="17"/>
          <w:i w:val="1"/>
          <w:iCs w:val="1"/>
          <w:color w:val="auto"/>
        </w:rPr>
        <w:t>Representations</w:t>
      </w:r>
      <w:r>
        <w:rPr>
          <w:rFonts w:ascii="Arial" w:cs="Arial" w:eastAsia="Arial" w:hAnsi="Arial"/>
          <w:sz w:val="17"/>
          <w:szCs w:val="17"/>
          <w:color w:val="auto"/>
        </w:rPr>
        <w:t>) are true;</w:t>
      </w:r>
    </w:p>
    <w:p>
      <w:pPr>
        <w:spacing w:after="0" w:line="236" w:lineRule="exact"/>
        <w:rPr>
          <w:rFonts w:ascii="Arial" w:cs="Arial" w:eastAsia="Arial" w:hAnsi="Arial"/>
          <w:sz w:val="17"/>
          <w:szCs w:val="17"/>
          <w:color w:val="auto"/>
        </w:rPr>
      </w:pPr>
    </w:p>
    <w:p>
      <w:pPr>
        <w:ind w:left="1428" w:right="140" w:hanging="511"/>
        <w:spacing w:after="0" w:line="286" w:lineRule="auto"/>
        <w:tabs>
          <w:tab w:leader="none" w:pos="147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65" w:lineRule="exact"/>
        <w:rPr>
          <w:rFonts w:ascii="Arial" w:cs="Arial" w:eastAsia="Arial" w:hAnsi="Arial"/>
          <w:sz w:val="17"/>
          <w:szCs w:val="17"/>
          <w:color w:val="auto"/>
        </w:rPr>
      </w:pPr>
    </w:p>
    <w:p>
      <w:pPr>
        <w:ind w:left="1448" w:hanging="531"/>
        <w:spacing w:after="0"/>
        <w:tabs>
          <w:tab w:leader="none" w:pos="144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Total Loss Date has occurred in relation to the Ship; and</w:t>
      </w:r>
    </w:p>
    <w:p>
      <w:pPr>
        <w:spacing w:after="0" w:line="225" w:lineRule="exact"/>
        <w:rPr>
          <w:rFonts w:ascii="Arial" w:cs="Arial" w:eastAsia="Arial" w:hAnsi="Arial"/>
          <w:sz w:val="18"/>
          <w:szCs w:val="18"/>
          <w:color w:val="auto"/>
        </w:rPr>
      </w:pPr>
    </w:p>
    <w:p>
      <w:pPr>
        <w:ind w:left="1428" w:right="580" w:hanging="511"/>
        <w:spacing w:after="0" w:line="277" w:lineRule="auto"/>
        <w:tabs>
          <w:tab w:leader="none" w:pos="143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Security Value is not lower than the Minimum Value nor would it be lower than the Minimum Value immediately after the proposed Utilisation.</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Waiver of conditions precedent</w:t>
      </w:r>
    </w:p>
    <w:p>
      <w:pPr>
        <w:spacing w:after="0" w:line="229" w:lineRule="exact"/>
        <w:rPr>
          <w:sz w:val="20"/>
          <w:szCs w:val="20"/>
          <w:color w:val="auto"/>
        </w:rPr>
      </w:pPr>
    </w:p>
    <w:p>
      <w:pPr>
        <w:ind w:left="408" w:right="240"/>
        <w:spacing w:after="0" w:line="277" w:lineRule="auto"/>
        <w:rPr>
          <w:sz w:val="20"/>
          <w:szCs w:val="20"/>
          <w:color w:val="auto"/>
        </w:rPr>
      </w:pPr>
      <w:r>
        <w:rPr>
          <w:rFonts w:ascii="Arial" w:cs="Arial" w:eastAsia="Arial" w:hAnsi="Arial"/>
          <w:sz w:val="18"/>
          <w:szCs w:val="18"/>
          <w:color w:val="auto"/>
        </w:rPr>
        <w:t>The conditions in this clause 4 are inserted solely for the benefit of the Finance Parties and may be waived on their behalf in whole or in part and with or without conditions by the Agent acting on the instructions of the Majority Lenders</w:t>
      </w:r>
      <w:r>
        <w:rPr>
          <w:rFonts w:ascii="Arial" w:cs="Arial" w:eastAsia="Arial" w:hAnsi="Arial"/>
          <w:sz w:val="18"/>
          <w:szCs w:val="18"/>
          <w:b w:val="1"/>
          <w:bCs w:val="1"/>
          <w:color w:val="auto"/>
        </w:rPr>
        <w:t>.</w:t>
      </w:r>
    </w:p>
    <w:p>
      <w:pPr>
        <w:spacing w:after="0" w:line="166" w:lineRule="exact"/>
        <w:rPr>
          <w:sz w:val="20"/>
          <w:szCs w:val="20"/>
          <w:color w:val="auto"/>
        </w:rPr>
      </w:pPr>
    </w:p>
    <w:p>
      <w:pPr>
        <w:ind w:left="408" w:hanging="408"/>
        <w:spacing w:after="0"/>
        <w:tabs>
          <w:tab w:leader="none" w:pos="408"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Delivery of Utilisation Request</w:t>
      </w:r>
    </w:p>
    <w:p>
      <w:pPr>
        <w:spacing w:after="0" w:line="229" w:lineRule="exact"/>
        <w:rPr>
          <w:sz w:val="20"/>
          <w:szCs w:val="20"/>
          <w:color w:val="auto"/>
        </w:rPr>
      </w:pPr>
    </w:p>
    <w:p>
      <w:pPr>
        <w:ind w:left="408" w:right="120"/>
        <w:spacing w:after="0" w:line="277" w:lineRule="auto"/>
        <w:rPr>
          <w:sz w:val="20"/>
          <w:szCs w:val="20"/>
          <w:color w:val="auto"/>
        </w:rPr>
      </w:pPr>
      <w:r>
        <w:rPr>
          <w:rFonts w:ascii="Arial" w:cs="Arial" w:eastAsia="Arial" w:hAnsi="Arial"/>
          <w:sz w:val="18"/>
          <w:szCs w:val="18"/>
          <w:color w:val="auto"/>
        </w:rPr>
        <w:t>The Borrower may utilise the Facility by delivery to the Agent of a duly completed Utilisation Request not later than 11:00 a.m. three (3) Business Days before the proposed Utilisation Date.</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Completion of Utilisation Request</w:t>
      </w:r>
    </w:p>
    <w:p>
      <w:pPr>
        <w:spacing w:after="0" w:line="229" w:lineRule="exact"/>
        <w:rPr>
          <w:sz w:val="20"/>
          <w:szCs w:val="20"/>
          <w:color w:val="auto"/>
        </w:rPr>
      </w:pPr>
    </w:p>
    <w:p>
      <w:pPr>
        <w:ind w:left="928" w:hanging="532"/>
        <w:spacing w:after="0"/>
        <w:tabs>
          <w:tab w:leader="none" w:pos="92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Utilisation Request is irrevocable and will not be regarded as having been duly completed unless:</w:t>
      </w:r>
    </w:p>
    <w:p>
      <w:pPr>
        <w:spacing w:after="0" w:line="225" w:lineRule="exact"/>
        <w:rPr>
          <w:rFonts w:ascii="Arial" w:cs="Arial" w:eastAsia="Arial" w:hAnsi="Arial"/>
          <w:sz w:val="18"/>
          <w:szCs w:val="18"/>
          <w:color w:val="auto"/>
        </w:rPr>
      </w:pPr>
    </w:p>
    <w:p>
      <w:pPr>
        <w:ind w:left="5428" w:right="2740" w:hanging="4511"/>
        <w:spacing w:after="0" w:line="527" w:lineRule="auto"/>
        <w:tabs>
          <w:tab w:leader="none" w:pos="145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proposed Utilisation Date is a Business Day falling not later than the Last Availability Date;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-89535</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8"/>
          </w:cols>
          <w:pgMar w:left="432" w:top="337" w:right="379" w:bottom="1440" w:gutter="0" w:footer="0" w:header="0"/>
        </w:sectPr>
      </w:pPr>
    </w:p>
    <w:bookmarkStart w:id="281" w:name="page282"/>
    <w:bookmarkEnd w:id="281"/>
    <w:p>
      <w:pPr>
        <w:ind w:left="1468" w:hanging="551"/>
        <w:spacing w:after="0"/>
        <w:tabs>
          <w:tab w:leader="none" w:pos="146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68" w:hanging="551"/>
        <w:spacing w:after="0"/>
        <w:tabs>
          <w:tab w:leader="none" w:pos="146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48" w:hanging="531"/>
        <w:spacing w:after="0"/>
        <w:tabs>
          <w:tab w:leader="none" w:pos="144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8" w:hanging="532"/>
        <w:spacing w:after="0"/>
        <w:tabs>
          <w:tab w:leader="none" w:pos="92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Commitments may only be borrowed in a single amount in a single Utilisation.</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29" w:lineRule="exact"/>
        <w:rPr>
          <w:sz w:val="20"/>
          <w:szCs w:val="20"/>
          <w:color w:val="auto"/>
        </w:rPr>
      </w:pPr>
    </w:p>
    <w:p>
      <w:pPr>
        <w:ind w:left="928" w:hanging="532"/>
        <w:spacing w:after="0"/>
        <w:tabs>
          <w:tab w:leader="none" w:pos="9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currency specified in the Utilisation Request must be dollars.</w:t>
      </w:r>
    </w:p>
    <w:p>
      <w:pPr>
        <w:spacing w:after="0" w:line="225" w:lineRule="exact"/>
        <w:rPr>
          <w:rFonts w:ascii="Arial" w:cs="Arial" w:eastAsia="Arial" w:hAnsi="Arial"/>
          <w:sz w:val="18"/>
          <w:szCs w:val="18"/>
          <w:color w:val="auto"/>
        </w:rPr>
      </w:pPr>
    </w:p>
    <w:p>
      <w:pPr>
        <w:ind w:left="928" w:hanging="532"/>
        <w:spacing w:after="0"/>
        <w:tabs>
          <w:tab w:leader="none" w:pos="92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 of a proposed Utilisation shall not exceed the lower of:</w:t>
      </w:r>
    </w:p>
    <w:p>
      <w:pPr>
        <w:spacing w:after="0" w:line="225" w:lineRule="exact"/>
        <w:rPr>
          <w:rFonts w:ascii="Arial" w:cs="Arial" w:eastAsia="Arial" w:hAnsi="Arial"/>
          <w:sz w:val="18"/>
          <w:szCs w:val="18"/>
          <w:color w:val="auto"/>
        </w:rPr>
      </w:pPr>
    </w:p>
    <w:p>
      <w:pPr>
        <w:ind w:left="1448" w:hanging="531"/>
        <w:spacing w:after="0"/>
        <w:tabs>
          <w:tab w:leader="none" w:pos="14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Total Commitments; and</w:t>
      </w:r>
    </w:p>
    <w:p>
      <w:pPr>
        <w:spacing w:after="0" w:line="225" w:lineRule="exact"/>
        <w:rPr>
          <w:rFonts w:ascii="Arial" w:cs="Arial" w:eastAsia="Arial" w:hAnsi="Arial"/>
          <w:sz w:val="18"/>
          <w:szCs w:val="18"/>
          <w:color w:val="auto"/>
        </w:rPr>
      </w:pPr>
    </w:p>
    <w:p>
      <w:pPr>
        <w:ind w:left="1428" w:right="500" w:hanging="511"/>
        <w:spacing w:after="0" w:line="277" w:lineRule="auto"/>
        <w:tabs>
          <w:tab w:leader="none" w:pos="146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amount in dollars which is equal to 67% of the market value of the Ship determined on the basis of the valuations provided pursuant to Part 2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29" w:lineRule="exact"/>
        <w:rPr>
          <w:sz w:val="20"/>
          <w:szCs w:val="20"/>
          <w:color w:val="auto"/>
        </w:rPr>
      </w:pPr>
    </w:p>
    <w:p>
      <w:pPr>
        <w:ind w:left="908" w:right="240" w:hanging="512"/>
        <w:spacing w:after="0" w:line="277" w:lineRule="auto"/>
        <w:tabs>
          <w:tab w:leader="none" w:pos="91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the Loan available by the Utilisation Date through its Facility Office.</w:t>
      </w:r>
    </w:p>
    <w:p>
      <w:pPr>
        <w:spacing w:after="0" w:line="170" w:lineRule="exact"/>
        <w:rPr>
          <w:rFonts w:ascii="Arial" w:cs="Arial" w:eastAsia="Arial" w:hAnsi="Arial"/>
          <w:sz w:val="18"/>
          <w:szCs w:val="18"/>
          <w:color w:val="auto"/>
        </w:rPr>
      </w:pPr>
    </w:p>
    <w:p>
      <w:pPr>
        <w:ind w:left="908" w:right="180" w:hanging="512"/>
        <w:spacing w:after="0" w:line="277" w:lineRule="auto"/>
        <w:tabs>
          <w:tab w:leader="none" w:pos="92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amount of each Lender’s participation in the Loan will be equal to the proportion borne by its Commitment to the Total Commitments immediately prior to making the Loan.</w:t>
      </w:r>
    </w:p>
    <w:p>
      <w:pPr>
        <w:spacing w:after="0" w:line="170" w:lineRule="exact"/>
        <w:rPr>
          <w:rFonts w:ascii="Arial" w:cs="Arial" w:eastAsia="Arial" w:hAnsi="Arial"/>
          <w:sz w:val="18"/>
          <w:szCs w:val="18"/>
          <w:color w:val="auto"/>
        </w:rPr>
      </w:pPr>
    </w:p>
    <w:p>
      <w:pPr>
        <w:ind w:left="928" w:hanging="532"/>
        <w:spacing w:after="0"/>
        <w:tabs>
          <w:tab w:leader="none" w:pos="92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the Loan and the amount of its participation in the Loan.</w:t>
      </w:r>
    </w:p>
    <w:p>
      <w:pPr>
        <w:spacing w:after="0" w:line="225" w:lineRule="exact"/>
        <w:rPr>
          <w:rFonts w:ascii="Arial" w:cs="Arial" w:eastAsia="Arial" w:hAnsi="Arial"/>
          <w:sz w:val="18"/>
          <w:szCs w:val="18"/>
          <w:color w:val="auto"/>
        </w:rPr>
      </w:pPr>
    </w:p>
    <w:p>
      <w:pPr>
        <w:ind w:left="908" w:right="740" w:hanging="512"/>
        <w:spacing w:after="0" w:line="277" w:lineRule="auto"/>
        <w:tabs>
          <w:tab w:leader="none" w:pos="92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the Loan (and its own participation in it, if any) in accordance with the instructions contained in the Utilisation Request.</w:t>
      </w:r>
    </w:p>
    <w:p>
      <w:pPr>
        <w:spacing w:after="0" w:line="166" w:lineRule="exact"/>
        <w:rPr>
          <w:sz w:val="20"/>
          <w:szCs w:val="20"/>
          <w:color w:val="auto"/>
        </w:rPr>
      </w:pPr>
    </w:p>
    <w:p>
      <w:pPr>
        <w:ind w:left="408" w:hanging="408"/>
        <w:spacing w:after="0"/>
        <w:tabs>
          <w:tab w:leader="none" w:pos="408"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Repayment of Facility</w:t>
      </w:r>
    </w:p>
    <w:p>
      <w:pPr>
        <w:spacing w:after="0" w:line="229" w:lineRule="exact"/>
        <w:rPr>
          <w:sz w:val="20"/>
          <w:szCs w:val="20"/>
          <w:color w:val="auto"/>
        </w:rPr>
      </w:pPr>
    </w:p>
    <w:p>
      <w:pPr>
        <w:ind w:left="408" w:right="740"/>
        <w:spacing w:after="0" w:line="277" w:lineRule="auto"/>
        <w:rPr>
          <w:sz w:val="20"/>
          <w:szCs w:val="20"/>
          <w:color w:val="auto"/>
        </w:rPr>
      </w:pPr>
      <w:r>
        <w:rPr>
          <w:rFonts w:ascii="Arial" w:cs="Arial" w:eastAsia="Arial" w:hAnsi="Arial"/>
          <w:sz w:val="18"/>
          <w:szCs w:val="18"/>
          <w:color w:val="auto"/>
        </w:rPr>
        <w:t>The Borrower shall on each Repayment Date repay such part of the Loan as is required to be repaid on that Repayment Date by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Scheduled repayment of Facility</w:t>
      </w:r>
    </w:p>
    <w:p>
      <w:pPr>
        <w:spacing w:after="0" w:line="229" w:lineRule="exact"/>
        <w:rPr>
          <w:sz w:val="20"/>
          <w:szCs w:val="20"/>
          <w:color w:val="auto"/>
        </w:rPr>
      </w:pPr>
    </w:p>
    <w:p>
      <w:pPr>
        <w:ind w:left="908" w:hanging="512"/>
        <w:spacing w:after="0" w:line="277" w:lineRule="auto"/>
        <w:tabs>
          <w:tab w:leader="none" w:pos="91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extent not previously reduced or prepaid, the Loan shall be repaid by instalments on each Repayment Date in the amounts as specified in the repayment schedule set out in Schedule 7 (</w:t>
      </w:r>
      <w:r>
        <w:rPr>
          <w:rFonts w:ascii="Arial" w:cs="Arial" w:eastAsia="Arial" w:hAnsi="Arial"/>
          <w:sz w:val="18"/>
          <w:szCs w:val="18"/>
          <w:i w:val="1"/>
          <w:iCs w:val="1"/>
          <w:color w:val="auto"/>
        </w:rPr>
        <w:t>Repayment Schedule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08" w:right="440" w:hanging="512"/>
        <w:spacing w:after="0" w:line="342" w:lineRule="auto"/>
        <w:tabs>
          <w:tab w:leader="none" w:pos="92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On the Final Repayment Date (without prejudice to any other provision of this Agreement), the Loan shall, to the extent not previously reduced, be repaid in full together with all outstanding amounts under this Agreement and all other Finance Documents.</w:t>
      </w:r>
    </w:p>
    <w:p>
      <w:pPr>
        <w:spacing w:after="0" w:line="124"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8"/>
          </w:cols>
          <w:pgMar w:left="432" w:top="341" w:right="379" w:bottom="1440" w:gutter="0" w:footer="0" w:header="0"/>
        </w:sectPr>
      </w:pPr>
    </w:p>
    <w:bookmarkStart w:id="282" w:name="page283"/>
    <w:bookmarkEnd w:id="282"/>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Adjustment of scheduled repayments</w:t>
      </w:r>
    </w:p>
    <w:p>
      <w:pPr>
        <w:spacing w:after="0" w:line="229" w:lineRule="exact"/>
        <w:rPr>
          <w:sz w:val="20"/>
          <w:szCs w:val="20"/>
          <w:color w:val="auto"/>
        </w:rPr>
      </w:pPr>
    </w:p>
    <w:p>
      <w:pPr>
        <w:ind w:left="420" w:right="40"/>
        <w:spacing w:after="0" w:line="275" w:lineRule="auto"/>
        <w:rPr>
          <w:sz w:val="20"/>
          <w:szCs w:val="20"/>
          <w:color w:val="auto"/>
        </w:rPr>
      </w:pPr>
      <w:r>
        <w:rPr>
          <w:rFonts w:ascii="Arial" w:cs="Arial" w:eastAsia="Arial" w:hAnsi="Arial"/>
          <w:sz w:val="17"/>
          <w:szCs w:val="17"/>
          <w:color w:val="auto"/>
        </w:rPr>
        <w:t>If the Total Commitments have been partially reduced and/or any part of the Loan is prepaid (other than under clause 6.2 (</w:t>
      </w:r>
      <w:r>
        <w:rPr>
          <w:rFonts w:ascii="Arial" w:cs="Arial" w:eastAsia="Arial" w:hAnsi="Arial"/>
          <w:sz w:val="17"/>
          <w:szCs w:val="17"/>
          <w:i w:val="1"/>
          <w:iCs w:val="1"/>
          <w:color w:val="auto"/>
        </w:rPr>
        <w:t>Scheduled repayment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w:t>
      </w:r>
      <w:r>
        <w:rPr>
          <w:rFonts w:ascii="Arial" w:cs="Arial" w:eastAsia="Arial" w:hAnsi="Arial"/>
          <w:sz w:val="17"/>
          <w:szCs w:val="17"/>
          <w:color w:val="auto"/>
        </w:rPr>
        <w:t>)) before any Repayment Date, then the amount of the instalments by which the Loan shall be repaid under clause 6.2 (</w:t>
      </w:r>
      <w:r>
        <w:rPr>
          <w:rFonts w:ascii="Arial" w:cs="Arial" w:eastAsia="Arial" w:hAnsi="Arial"/>
          <w:sz w:val="17"/>
          <w:szCs w:val="17"/>
          <w:i w:val="1"/>
          <w:iCs w:val="1"/>
          <w:color w:val="auto"/>
        </w:rPr>
        <w:t>Scheduled repayment of Facility</w:t>
      </w:r>
      <w:r>
        <w:rPr>
          <w:rFonts w:ascii="Arial" w:cs="Arial" w:eastAsia="Arial" w:hAnsi="Arial"/>
          <w:sz w:val="17"/>
          <w:szCs w:val="17"/>
          <w:color w:val="auto"/>
        </w:rPr>
        <w:t>) on any such Repayment Date (as reduced by any earlier operation of this clause 6.3) shall be reduced pro rata to such reduction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Total Commitments or (as the case may be) pro rata to such prepayment of the Loan. In such cases, the Agent may update Schedule 7 (</w:t>
      </w:r>
      <w:r>
        <w:rPr>
          <w:rFonts w:ascii="Arial" w:cs="Arial" w:eastAsia="Arial" w:hAnsi="Arial"/>
          <w:sz w:val="17"/>
          <w:szCs w:val="17"/>
          <w:i w:val="1"/>
          <w:iCs w:val="1"/>
          <w:color w:val="auto"/>
        </w:rPr>
        <w:t>Repayment</w:t>
      </w:r>
      <w:r>
        <w:rPr>
          <w:rFonts w:ascii="Arial" w:cs="Arial" w:eastAsia="Arial" w:hAnsi="Arial"/>
          <w:sz w:val="17"/>
          <w:szCs w:val="17"/>
          <w:color w:val="auto"/>
        </w:rPr>
        <w:t xml:space="preserve"> </w:t>
      </w:r>
      <w:r>
        <w:rPr>
          <w:rFonts w:ascii="Arial" w:cs="Arial" w:eastAsia="Arial" w:hAnsi="Arial"/>
          <w:sz w:val="17"/>
          <w:szCs w:val="17"/>
          <w:i w:val="1"/>
          <w:iCs w:val="1"/>
          <w:color w:val="auto"/>
        </w:rPr>
        <w:t>Schedule</w:t>
      </w:r>
      <w:r>
        <w:rPr>
          <w:rFonts w:ascii="Arial" w:cs="Arial" w:eastAsia="Arial" w:hAnsi="Arial"/>
          <w:sz w:val="17"/>
          <w:szCs w:val="17"/>
          <w:color w:val="auto"/>
        </w:rPr>
        <w:t>) accordingly and distribute the same to the Parties for ease of reference.</w:t>
      </w:r>
    </w:p>
    <w:p>
      <w:pPr>
        <w:spacing w:after="0" w:line="172" w:lineRule="exact"/>
        <w:rPr>
          <w:sz w:val="20"/>
          <w:szCs w:val="20"/>
          <w:color w:val="auto"/>
        </w:rPr>
      </w:pPr>
    </w:p>
    <w:p>
      <w:pPr>
        <w:ind w:left="20" w:right="7720" w:hanging="8"/>
        <w:spacing w:after="0" w:line="503" w:lineRule="auto"/>
        <w:tabs>
          <w:tab w:leader="none" w:pos="42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 7.1 Illegality</w:t>
      </w:r>
    </w:p>
    <w:p>
      <w:pPr>
        <w:ind w:left="420"/>
        <w:spacing w:after="0" w:line="263"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the Loan or it becomes unlawful for any Affiliate of a Lender for that Lender to do so:</w:t>
      </w:r>
    </w:p>
    <w:p>
      <w:pPr>
        <w:spacing w:after="0" w:line="184" w:lineRule="exact"/>
        <w:rPr>
          <w:sz w:val="20"/>
          <w:szCs w:val="20"/>
          <w:color w:val="auto"/>
        </w:rPr>
      </w:pPr>
    </w:p>
    <w:p>
      <w:pPr>
        <w:ind w:left="940" w:hanging="532"/>
        <w:spacing w:after="0"/>
        <w:tabs>
          <w:tab w:leader="none" w:pos="9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25" w:lineRule="exact"/>
        <w:rPr>
          <w:rFonts w:ascii="Arial" w:cs="Arial" w:eastAsia="Arial" w:hAnsi="Arial"/>
          <w:sz w:val="18"/>
          <w:szCs w:val="18"/>
          <w:color w:val="auto"/>
        </w:rPr>
      </w:pPr>
    </w:p>
    <w:p>
      <w:pPr>
        <w:ind w:left="920" w:right="80" w:hanging="512"/>
        <w:spacing w:after="0" w:line="277" w:lineRule="auto"/>
        <w:tabs>
          <w:tab w:leader="none" w:pos="93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Commitments of that Lender will be immediately cancelled and the Total Commitments shall be reduced accordingly and the remaining Commitments shall be reduced rateably; and</w:t>
      </w:r>
    </w:p>
    <w:p>
      <w:pPr>
        <w:spacing w:after="0" w:line="170" w:lineRule="exact"/>
        <w:rPr>
          <w:rFonts w:ascii="Arial" w:cs="Arial" w:eastAsia="Arial" w:hAnsi="Arial"/>
          <w:sz w:val="18"/>
          <w:szCs w:val="18"/>
          <w:color w:val="auto"/>
        </w:rPr>
      </w:pPr>
    </w:p>
    <w:p>
      <w:pPr>
        <w:ind w:left="920" w:right="180" w:hanging="512"/>
        <w:spacing w:after="0" w:line="263" w:lineRule="auto"/>
        <w:tabs>
          <w:tab w:leader="none" w:pos="93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Borrower shall repay that Lender’s participation in the Loan on the last day of the Interest Period occurring after the Agent has notified the Borrower or, if earlier, the date specified by the Lender in the notice delivered to the Agent (being no earlier than the last day of any applicable grace period permitted by law).</w:t>
      </w:r>
    </w:p>
    <w:p>
      <w:pPr>
        <w:spacing w:after="0" w:line="18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Change of Control; de-listing</w:t>
      </w:r>
    </w:p>
    <w:p>
      <w:pPr>
        <w:spacing w:after="0" w:line="229" w:lineRule="exact"/>
        <w:rPr>
          <w:sz w:val="20"/>
          <w:szCs w:val="20"/>
          <w:color w:val="auto"/>
        </w:rPr>
      </w:pPr>
    </w:p>
    <w:p>
      <w:pPr>
        <w:ind w:left="920" w:right="380" w:hanging="512"/>
        <w:spacing w:after="0" w:line="277" w:lineRule="auto"/>
        <w:tabs>
          <w:tab w:leader="none" w:pos="92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 there is a Change of Control, the Borrower shall promptly notify the Agent upon any Obligor becoming aware of a Change of Control occurring.</w:t>
      </w:r>
    </w:p>
    <w:p>
      <w:pPr>
        <w:spacing w:after="0" w:line="170" w:lineRule="exact"/>
        <w:rPr>
          <w:rFonts w:ascii="Arial" w:cs="Arial" w:eastAsia="Arial" w:hAnsi="Arial"/>
          <w:sz w:val="18"/>
          <w:szCs w:val="18"/>
          <w:color w:val="auto"/>
        </w:rPr>
      </w:pPr>
    </w:p>
    <w:p>
      <w:pPr>
        <w:ind w:left="920" w:right="300" w:hanging="512"/>
        <w:spacing w:after="0" w:line="287" w:lineRule="auto"/>
        <w:tabs>
          <w:tab w:leader="none" w:pos="93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Upon becoming notified by any Party of a Change of Control, the Agent shall, if instructed by the Majority Lenders, by notice to the Borrower, cancel the Total Commitments immediately and declare the Loan to be payable within ten (10) Business Days from the date of such notice. Upon such notice being given, the Total Commitments shall be forthwith cancelled and the Borrower shall, within such ten</w:t>
      </w:r>
    </w:p>
    <w:p>
      <w:pPr>
        <w:spacing w:after="0" w:line="2" w:lineRule="exact"/>
        <w:rPr>
          <w:rFonts w:ascii="Arial" w:cs="Arial" w:eastAsia="Arial" w:hAnsi="Arial"/>
          <w:sz w:val="16"/>
          <w:szCs w:val="16"/>
          <w:color w:val="auto"/>
        </w:rPr>
      </w:pPr>
    </w:p>
    <w:p>
      <w:pPr>
        <w:ind w:left="920" w:right="240"/>
        <w:spacing w:after="0" w:line="260" w:lineRule="auto"/>
        <w:rPr>
          <w:rFonts w:ascii="Arial" w:cs="Arial" w:eastAsia="Arial" w:hAnsi="Arial"/>
          <w:sz w:val="16"/>
          <w:szCs w:val="16"/>
          <w:color w:val="auto"/>
        </w:rPr>
      </w:pPr>
      <w:r>
        <w:rPr>
          <w:rFonts w:ascii="Arial" w:cs="Arial" w:eastAsia="Arial" w:hAnsi="Arial"/>
          <w:sz w:val="18"/>
          <w:szCs w:val="18"/>
          <w:color w:val="auto"/>
        </w:rPr>
        <w:t>(10) Business Day period, prepay the Loan in full together with all other amounts owing under this Agreement or any of the other Finance Documents.</w:t>
      </w:r>
    </w:p>
    <w:p>
      <w:pPr>
        <w:spacing w:after="0" w:line="185" w:lineRule="exact"/>
        <w:rPr>
          <w:rFonts w:ascii="Arial" w:cs="Arial" w:eastAsia="Arial" w:hAnsi="Arial"/>
          <w:sz w:val="16"/>
          <w:szCs w:val="16"/>
          <w:color w:val="auto"/>
        </w:rPr>
      </w:pPr>
    </w:p>
    <w:p>
      <w:pPr>
        <w:ind w:left="920" w:right="20" w:hanging="512"/>
        <w:spacing w:after="0" w:line="296" w:lineRule="auto"/>
        <w:tabs>
          <w:tab w:leader="none" w:pos="93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If the Parent ceases to be listed on an Approved Exchange for any reason, without the prior consent of the Majority Lenders, the Borrower shall notify the Agent of the same upon its occurrence, and the Agent, upon being notified shall, if instructed by the Majority Lenders, cancel the Total Commitments immediately and declare the Loan to be payable within ten (10) Business Days from the date of such notice. Upon such notice being given, the Total Commitments shall be immediately cancelled and the Borrower shall, within such ten (10) Business Day period, prepay the Loan in full together with all other amounts owing under this Agreement or any of the other Finance Documents.</w:t>
      </w:r>
    </w:p>
    <w:p>
      <w:pPr>
        <w:spacing w:after="0" w:line="157"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22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The Borrower may, if they give the Agent not less than ten (10) Business Days’ (or such shorter period as the Majority Lenders may agree) prior written notice, cancel the whole or any part (being a minimum amount of $2,500,000 and a multiple of $1,000,000) of the Available Facility which is undrawn at the proposed date of cancellation, such cancellation being applied to reduce the relevant Commitments of the Lenders on a pro rata basis.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20" w:top="337" w:right="359" w:bottom="1440" w:gutter="0" w:footer="0" w:header="0"/>
        </w:sectPr>
      </w:pPr>
    </w:p>
    <w:bookmarkStart w:id="283" w:name="page284"/>
    <w:bookmarkEnd w:id="283"/>
    <w:p>
      <w:pPr>
        <w:spacing w:after="0"/>
        <w:tabs>
          <w:tab w:leader="none" w:pos="3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Voluntary prepayment</w:t>
      </w:r>
    </w:p>
    <w:p>
      <w:pPr>
        <w:spacing w:after="0" w:line="229" w:lineRule="exact"/>
        <w:rPr>
          <w:sz w:val="20"/>
          <w:szCs w:val="20"/>
          <w:color w:val="auto"/>
        </w:rPr>
      </w:pPr>
    </w:p>
    <w:p>
      <w:pPr>
        <w:ind w:left="400" w:right="260"/>
        <w:spacing w:after="0" w:line="311" w:lineRule="auto"/>
        <w:rPr>
          <w:sz w:val="20"/>
          <w:szCs w:val="20"/>
          <w:color w:val="auto"/>
        </w:rPr>
      </w:pPr>
      <w:r>
        <w:rPr>
          <w:rFonts w:ascii="Arial" w:cs="Arial" w:eastAsia="Arial" w:hAnsi="Arial"/>
          <w:sz w:val="16"/>
          <w:szCs w:val="16"/>
          <w:color w:val="auto"/>
        </w:rPr>
        <w:t>The Borrower may, if they give the Agent not less than five (5) Business Days (or such shorter period as the Majority Lenders may agree) prior written notice, prepay the whole or any part of the Loan (but if in part, being a minimum amount of $1,000,000 and a multiple of $1,000,000), on the last day of an Interest Period in respect of the amount to be prepaid (or any other date subject to payment of any Break Costs).</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Right of replacement or cancellation and prepayment in relation to a single Lender/Right of cancellation in relation to a Defaulting Lender</w:t>
      </w:r>
    </w:p>
    <w:p>
      <w:pPr>
        <w:spacing w:after="0" w:line="229" w:lineRule="exact"/>
        <w:rPr>
          <w:sz w:val="20"/>
          <w:szCs w:val="20"/>
          <w:color w:val="auto"/>
        </w:rPr>
      </w:pPr>
    </w:p>
    <w:p>
      <w:pPr>
        <w:ind w:left="920" w:hanging="532"/>
        <w:spacing w:after="0"/>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37"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color w:val="auto"/>
        </w:rPr>
        <w:t>the Borrower may, whilst the circumstance giving rise to the requirement for that increase or indemnification continues, give the Agent notice of cancellation of the Commitments of that Lender and their intention to procure the repayment of that Lender’s participation in the Loan or give the Agent notice of their intention to replace that Lender in accordance with clause 7.5(d).</w:t>
      </w:r>
    </w:p>
    <w:p>
      <w:pPr>
        <w:spacing w:after="0" w:line="184" w:lineRule="exact"/>
        <w:rPr>
          <w:sz w:val="20"/>
          <w:szCs w:val="20"/>
          <w:color w:val="auto"/>
        </w:rPr>
      </w:pPr>
    </w:p>
    <w:p>
      <w:pPr>
        <w:ind w:left="900" w:right="40" w:hanging="512"/>
        <w:spacing w:after="0" w:line="311" w:lineRule="auto"/>
        <w:tabs>
          <w:tab w:leader="none" w:pos="91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The Agent shall as soon as practicable after receipt of a notice referred to in clause 7.5(a) above, notify all the Lenders.</w:t>
      </w:r>
    </w:p>
    <w:p>
      <w:pPr>
        <w:spacing w:after="0" w:line="148" w:lineRule="exact"/>
        <w:rPr>
          <w:rFonts w:ascii="Arial" w:cs="Arial" w:eastAsia="Arial" w:hAnsi="Arial"/>
          <w:sz w:val="16"/>
          <w:szCs w:val="16"/>
          <w:color w:val="auto"/>
        </w:rPr>
      </w:pPr>
    </w:p>
    <w:p>
      <w:pPr>
        <w:ind w:left="900" w:right="60" w:hanging="512"/>
        <w:spacing w:after="0" w:line="308" w:lineRule="auto"/>
        <w:tabs>
          <w:tab w:leader="none" w:pos="91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have given notice under clause 7.5(a) above in relation to a Lender (or, if earlier, the date specified by the Borrower in that notice), the Borrower shall repay that Lender’s participation in the Loan.</w:t>
      </w:r>
    </w:p>
    <w:p>
      <w:pPr>
        <w:spacing w:after="0" w:line="146" w:lineRule="exact"/>
        <w:rPr>
          <w:rFonts w:ascii="Arial" w:cs="Arial" w:eastAsia="Arial" w:hAnsi="Arial"/>
          <w:sz w:val="17"/>
          <w:szCs w:val="17"/>
          <w:color w:val="auto"/>
        </w:rPr>
      </w:pPr>
    </w:p>
    <w:p>
      <w:pPr>
        <w:ind w:left="900" w:right="20" w:hanging="512"/>
        <w:spacing w:after="0" w:line="255" w:lineRule="auto"/>
        <w:tabs>
          <w:tab w:leader="none" w:pos="91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Borrower may, in the circumstances set out in clause 7.5(a), on 15 Business Days’ prior notice to the Agent and that Lender, replace that Lender by requiring that Lender to assign (and, to the extent permitted by law, that Lender shall assign) pursuant to clause 30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all (and not part only) of its rights under this Agreement to a Lender or other bank, financial institution, trust, fund or other entity</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by the Borrower and approved by all the Lenders, which confirms its willingness to assume and does assume all the obligations of the assigning Lender in accordance with clause 30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the assignment equal to the aggregate of:</w:t>
      </w:r>
    </w:p>
    <w:p>
      <w:pPr>
        <w:spacing w:after="0" w:line="192" w:lineRule="exact"/>
        <w:rPr>
          <w:rFonts w:ascii="Arial" w:cs="Arial" w:eastAsia="Arial" w:hAnsi="Arial"/>
          <w:sz w:val="18"/>
          <w:szCs w:val="18"/>
          <w:color w:val="auto"/>
        </w:rPr>
      </w:pPr>
    </w:p>
    <w:p>
      <w:pPr>
        <w:ind w:left="1440" w:hanging="531"/>
        <w:spacing w:after="0"/>
        <w:tabs>
          <w:tab w:leader="none" w:pos="14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w:t>
      </w:r>
    </w:p>
    <w:p>
      <w:pPr>
        <w:spacing w:after="0" w:line="225" w:lineRule="exact"/>
        <w:rPr>
          <w:rFonts w:ascii="Arial" w:cs="Arial" w:eastAsia="Arial" w:hAnsi="Arial"/>
          <w:sz w:val="18"/>
          <w:szCs w:val="18"/>
          <w:color w:val="auto"/>
        </w:rPr>
      </w:pPr>
    </w:p>
    <w:p>
      <w:pPr>
        <w:ind w:left="1420" w:right="100" w:hanging="511"/>
        <w:spacing w:after="0" w:line="277" w:lineRule="auto"/>
        <w:tabs>
          <w:tab w:leader="none" w:pos="145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30.8 (</w:t>
      </w:r>
      <w:r>
        <w:rPr>
          <w:rFonts w:ascii="Arial" w:cs="Arial" w:eastAsia="Arial" w:hAnsi="Arial"/>
          <w:sz w:val="18"/>
          <w:szCs w:val="18"/>
          <w:i w:val="1"/>
          <w:iCs w:val="1"/>
          <w:color w:val="auto"/>
        </w:rPr>
        <w:t>Pro rata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20" w:right="240" w:hanging="511"/>
        <w:spacing w:after="0" w:line="277" w:lineRule="auto"/>
        <w:tabs>
          <w:tab w:leader="none" w:pos="146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 prepaid in full that Lender’s participation in the Loan on the date of the assignment; and</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25" w:lineRule="exact"/>
        <w:rPr>
          <w:rFonts w:ascii="Arial" w:cs="Arial" w:eastAsia="Arial" w:hAnsi="Arial"/>
          <w:sz w:val="18"/>
          <w:szCs w:val="18"/>
          <w:color w:val="auto"/>
        </w:rPr>
      </w:pPr>
    </w:p>
    <w:p>
      <w:pPr>
        <w:ind w:left="920" w:hanging="532"/>
        <w:spacing w:after="0"/>
        <w:tabs>
          <w:tab w:leader="none" w:pos="9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284" w:name="page285"/>
    <w:bookmarkEnd w:id="284"/>
    <w:p>
      <w:pPr>
        <w:ind w:left="1440" w:hanging="531"/>
        <w:spacing w:after="0"/>
        <w:tabs>
          <w:tab w:leader="none" w:pos="14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25" w:lineRule="exact"/>
        <w:rPr>
          <w:rFonts w:ascii="Arial" w:cs="Arial" w:eastAsia="Arial" w:hAnsi="Arial"/>
          <w:sz w:val="18"/>
          <w:szCs w:val="18"/>
          <w:color w:val="auto"/>
        </w:rPr>
      </w:pPr>
    </w:p>
    <w:p>
      <w:pPr>
        <w:ind w:left="1420" w:right="400" w:hanging="511"/>
        <w:spacing w:after="0" w:line="277" w:lineRule="auto"/>
        <w:tabs>
          <w:tab w:leader="none" w:pos="146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70" w:lineRule="exact"/>
        <w:rPr>
          <w:rFonts w:ascii="Arial" w:cs="Arial" w:eastAsia="Arial" w:hAnsi="Arial"/>
          <w:sz w:val="18"/>
          <w:szCs w:val="18"/>
          <w:color w:val="auto"/>
        </w:rPr>
      </w:pPr>
    </w:p>
    <w:p>
      <w:pPr>
        <w:ind w:left="1420" w:right="320" w:hanging="511"/>
        <w:spacing w:after="0" w:line="342" w:lineRule="auto"/>
        <w:tabs>
          <w:tab w:leader="none" w:pos="1439"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23" w:lineRule="exact"/>
        <w:rPr>
          <w:rFonts w:ascii="Arial" w:cs="Arial" w:eastAsia="Arial" w:hAnsi="Arial"/>
          <w:sz w:val="16"/>
          <w:szCs w:val="16"/>
          <w:color w:val="auto"/>
        </w:rPr>
      </w:pPr>
    </w:p>
    <w:p>
      <w:pPr>
        <w:ind w:left="900" w:right="380" w:hanging="512"/>
        <w:spacing w:after="0" w:line="342" w:lineRule="auto"/>
        <w:tabs>
          <w:tab w:leader="none" w:pos="91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Lender shall perform the checks described in clause 7.5(e)(iv) above as soon as reasonably practicable following delivery of a notice referred to in clause 7.5(d) above and shall notify the Agent and the Borrower when it is satisfied that it has complied with those checks.</w:t>
      </w:r>
    </w:p>
    <w:p>
      <w:pPr>
        <w:spacing w:after="0" w:line="123" w:lineRule="exact"/>
        <w:rPr>
          <w:rFonts w:ascii="Arial" w:cs="Arial" w:eastAsia="Arial" w:hAnsi="Arial"/>
          <w:sz w:val="16"/>
          <w:szCs w:val="16"/>
          <w:color w:val="auto"/>
        </w:rPr>
      </w:pPr>
    </w:p>
    <w:p>
      <w:pPr>
        <w:ind w:left="900" w:right="180" w:hanging="512"/>
        <w:spacing w:after="0" w:line="277" w:lineRule="auto"/>
        <w:tabs>
          <w:tab w:leader="none" w:pos="92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 may, at any time whilst the Lender continues to be a Defaulting Lender, give the Agent five (5) Business Days’ notice of cancellation of the undrawn Commitments of that Lender.</w:t>
      </w:r>
    </w:p>
    <w:p>
      <w:pPr>
        <w:spacing w:after="0" w:line="170" w:lineRule="exact"/>
        <w:rPr>
          <w:rFonts w:ascii="Arial" w:cs="Arial" w:eastAsia="Arial" w:hAnsi="Arial"/>
          <w:sz w:val="18"/>
          <w:szCs w:val="18"/>
          <w:color w:val="auto"/>
        </w:rPr>
      </w:pPr>
    </w:p>
    <w:p>
      <w:pPr>
        <w:jc w:val="both"/>
        <w:ind w:left="900" w:right="160" w:hanging="512"/>
        <w:spacing w:after="0" w:line="259" w:lineRule="auto"/>
        <w:tabs>
          <w:tab w:leader="none" w:pos="91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 the notice referred to in clause 7.5(g) above becoming effective, the undrawn Commitments of the Defaulting Lender shall immediately be reduced to zero and (unless the Commitments of the relevant Lender are replaced in accordance with 41.5 (</w:t>
      </w:r>
      <w:r>
        <w:rPr>
          <w:rFonts w:ascii="Arial" w:cs="Arial" w:eastAsia="Arial" w:hAnsi="Arial"/>
          <w:sz w:val="18"/>
          <w:szCs w:val="18"/>
          <w:i w:val="1"/>
          <w:iCs w:val="1"/>
          <w:color w:val="auto"/>
        </w:rPr>
        <w:t>Replacement of a Defaulting</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 the Total Commitments shall be reduced accordingly and the Agent shall as soon as practicable after receipt of such notice, notify</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Lenders.</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Sale or Total Loss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the Disposal Repayment Date:</w:t>
      </w:r>
    </w:p>
    <w:p>
      <w:pPr>
        <w:spacing w:after="0" w:line="225" w:lineRule="exact"/>
        <w:rPr>
          <w:sz w:val="20"/>
          <w:szCs w:val="20"/>
          <w:color w:val="auto"/>
        </w:rPr>
      </w:pPr>
    </w:p>
    <w:p>
      <w:pPr>
        <w:ind w:left="920" w:hanging="53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Borrower shall prepay the Loan in full; and</w:t>
      </w:r>
    </w:p>
    <w:p>
      <w:pPr>
        <w:spacing w:after="0" w:line="225" w:lineRule="exact"/>
        <w:rPr>
          <w:rFonts w:ascii="Arial" w:cs="Arial" w:eastAsia="Arial" w:hAnsi="Arial"/>
          <w:sz w:val="18"/>
          <w:szCs w:val="18"/>
          <w:color w:val="auto"/>
        </w:rPr>
      </w:pPr>
    </w:p>
    <w:p>
      <w:pPr>
        <w:ind w:left="920" w:hanging="53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Total Commitments shall be reduced to zero.</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Automatic cancellation</w:t>
      </w:r>
    </w:p>
    <w:p>
      <w:pPr>
        <w:spacing w:after="0" w:line="229" w:lineRule="exact"/>
        <w:rPr>
          <w:sz w:val="20"/>
          <w:szCs w:val="20"/>
          <w:color w:val="auto"/>
        </w:rPr>
      </w:pPr>
    </w:p>
    <w:p>
      <w:pPr>
        <w:ind w:left="400" w:right="220"/>
        <w:spacing w:after="0" w:line="277" w:lineRule="auto"/>
        <w:rPr>
          <w:sz w:val="20"/>
          <w:szCs w:val="20"/>
          <w:color w:val="auto"/>
        </w:rPr>
      </w:pPr>
      <w:r>
        <w:rPr>
          <w:rFonts w:ascii="Arial" w:cs="Arial" w:eastAsia="Arial" w:hAnsi="Arial"/>
          <w:sz w:val="18"/>
          <w:szCs w:val="18"/>
          <w:color w:val="auto"/>
        </w:rPr>
        <w:t>Any part of the Total Commitments relating to the Facility which has not become available by, or which is undrawn on, the Last Availability Date shall be automatically cancelled at close of business in London on the Last Availability Date.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Restrictions</w:t>
      </w:r>
    </w:p>
    <w:p>
      <w:pPr>
        <w:spacing w:after="0" w:line="229" w:lineRule="exact"/>
        <w:rPr>
          <w:sz w:val="20"/>
          <w:szCs w:val="20"/>
          <w:color w:val="auto"/>
        </w:rPr>
      </w:pPr>
    </w:p>
    <w:p>
      <w:pPr>
        <w:ind w:left="900" w:hanging="512"/>
        <w:spacing w:after="0" w:line="263" w:lineRule="auto"/>
        <w:tabs>
          <w:tab w:leader="none" w:pos="90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83" w:lineRule="exact"/>
        <w:rPr>
          <w:rFonts w:ascii="Arial" w:cs="Arial" w:eastAsia="Arial" w:hAnsi="Arial"/>
          <w:sz w:val="18"/>
          <w:szCs w:val="18"/>
          <w:color w:val="auto"/>
        </w:rPr>
      </w:pPr>
    </w:p>
    <w:p>
      <w:pPr>
        <w:ind w:left="900" w:right="160" w:hanging="512"/>
        <w:spacing w:after="0" w:line="277" w:lineRule="auto"/>
        <w:tabs>
          <w:tab w:leader="none" w:pos="91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repaid or prepaid.</w:t>
      </w:r>
    </w:p>
    <w:p>
      <w:pPr>
        <w:spacing w:after="0" w:line="225" w:lineRule="exact"/>
        <w:rPr>
          <w:rFonts w:ascii="Arial" w:cs="Arial" w:eastAsia="Arial" w:hAnsi="Arial"/>
          <w:sz w:val="18"/>
          <w:szCs w:val="18"/>
          <w:color w:val="auto"/>
        </w:rPr>
      </w:pPr>
    </w:p>
    <w:p>
      <w:pPr>
        <w:ind w:left="900" w:right="20" w:hanging="512"/>
        <w:spacing w:after="0" w:line="277" w:lineRule="auto"/>
        <w:tabs>
          <w:tab w:leader="none" w:pos="91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 or cancel all or any part of the Commitments except at the times and in the manner expressly provided for in this Agreement.</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20" w:hanging="531"/>
        <w:spacing w:after="0"/>
        <w:tabs>
          <w:tab w:leader="none" w:pos="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25" w:lineRule="exact"/>
        <w:rPr>
          <w:rFonts w:ascii="Arial" w:cs="Arial" w:eastAsia="Arial" w:hAnsi="Arial"/>
          <w:sz w:val="18"/>
          <w:szCs w:val="18"/>
          <w:color w:val="auto"/>
        </w:rPr>
      </w:pPr>
    </w:p>
    <w:p>
      <w:pPr>
        <w:ind w:left="800" w:right="140" w:hanging="511"/>
        <w:spacing w:after="0" w:line="277" w:lineRule="auto"/>
        <w:tabs>
          <w:tab w:leader="none" w:pos="79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affected Lender, as appropriate.</w:t>
      </w:r>
    </w:p>
    <w:p>
      <w:pPr>
        <w:spacing w:after="0" w:line="170" w:lineRule="exact"/>
        <w:rPr>
          <w:rFonts w:ascii="Arial" w:cs="Arial" w:eastAsia="Arial" w:hAnsi="Arial"/>
          <w:sz w:val="18"/>
          <w:szCs w:val="18"/>
          <w:color w:val="auto"/>
        </w:rPr>
      </w:pPr>
    </w:p>
    <w:p>
      <w:pPr>
        <w:ind w:left="800" w:right="200" w:hanging="511"/>
        <w:spacing w:after="0" w:line="311" w:lineRule="auto"/>
        <w:tabs>
          <w:tab w:leader="none" w:pos="81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If the Total Commitments are partially reduced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and clause 7.5 (</w:t>
      </w:r>
      <w:r>
        <w:rPr>
          <w:rFonts w:ascii="Arial" w:cs="Arial" w:eastAsia="Arial" w:hAnsi="Arial"/>
          <w:sz w:val="16"/>
          <w:szCs w:val="16"/>
          <w:i w:val="1"/>
          <w:iCs w:val="1"/>
          <w:color w:val="auto"/>
        </w:rPr>
        <w:t>Right of</w:t>
      </w:r>
      <w:r>
        <w:rPr>
          <w:rFonts w:ascii="Arial" w:cs="Arial" w:eastAsia="Arial" w:hAnsi="Arial"/>
          <w:sz w:val="16"/>
          <w:szCs w:val="16"/>
          <w:color w:val="auto"/>
        </w:rPr>
        <w:t xml:space="preserve"> </w:t>
      </w:r>
      <w:r>
        <w:rPr>
          <w:rFonts w:ascii="Arial" w:cs="Arial" w:eastAsia="Arial" w:hAnsi="Arial"/>
          <w:sz w:val="16"/>
          <w:szCs w:val="16"/>
          <w:i w:val="1"/>
          <w:iCs w:val="1"/>
          <w:color w:val="auto"/>
        </w:rPr>
        <w:t>replacement or cancellation and prepayment in relation to a single Lender/Right of cancellation in relation to a Defaulting Lender</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of all the Lenders under the Facility shall be reduced pro rata (except where otherwise expressly specified in this Agreement).</w:t>
      </w:r>
    </w:p>
    <w:p>
      <w:pPr>
        <w:spacing w:after="0" w:line="148" w:lineRule="exact"/>
        <w:rPr>
          <w:rFonts w:ascii="Arial" w:cs="Arial" w:eastAsia="Arial" w:hAnsi="Arial"/>
          <w:sz w:val="16"/>
          <w:szCs w:val="16"/>
          <w:color w:val="auto"/>
        </w:rPr>
      </w:pPr>
    </w:p>
    <w:p>
      <w:pPr>
        <w:ind w:left="800" w:hanging="511"/>
        <w:spacing w:after="0"/>
        <w:tabs>
          <w:tab w:leader="none" w:pos="8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all cases where the Total Commitments are partially reduced under this Agreement, the Commitments shall be reduced pro rata.</w:t>
      </w:r>
    </w:p>
    <w:p>
      <w:pPr>
        <w:spacing w:after="0" w:line="236" w:lineRule="exact"/>
        <w:rPr>
          <w:rFonts w:ascii="Arial" w:cs="Arial" w:eastAsia="Arial" w:hAnsi="Arial"/>
          <w:sz w:val="17"/>
          <w:szCs w:val="17"/>
          <w:color w:val="auto"/>
        </w:rPr>
      </w:pPr>
    </w:p>
    <w:p>
      <w:pPr>
        <w:ind w:left="800" w:hanging="511"/>
        <w:spacing w:after="0" w:line="286" w:lineRule="auto"/>
        <w:tabs>
          <w:tab w:leader="none" w:pos="81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the Loan is partially prepaid under this Agreement (other than under clause 7.1 (</w:t>
      </w:r>
      <w:r>
        <w:rPr>
          <w:rFonts w:ascii="Arial" w:cs="Arial" w:eastAsia="Arial" w:hAnsi="Arial"/>
          <w:sz w:val="17"/>
          <w:szCs w:val="17"/>
          <w:i w:val="1"/>
          <w:iCs w:val="1"/>
          <w:color w:val="auto"/>
        </w:rPr>
        <w:t>Illegality</w:t>
      </w:r>
      <w:r>
        <w:rPr>
          <w:rFonts w:ascii="Arial" w:cs="Arial" w:eastAsia="Arial" w:hAnsi="Arial"/>
          <w:sz w:val="17"/>
          <w:szCs w:val="17"/>
          <w:color w:val="auto"/>
        </w:rPr>
        <w:t>) and clause 7.5 (</w:t>
      </w:r>
      <w:r>
        <w:rPr>
          <w:rFonts w:ascii="Arial" w:cs="Arial" w:eastAsia="Arial" w:hAnsi="Arial"/>
          <w:sz w:val="17"/>
          <w:szCs w:val="17"/>
          <w:i w:val="1"/>
          <w:iCs w:val="1"/>
          <w:color w:val="auto"/>
        </w:rPr>
        <w:t>Right of replacement or</w:t>
      </w:r>
      <w:r>
        <w:rPr>
          <w:rFonts w:ascii="Arial" w:cs="Arial" w:eastAsia="Arial" w:hAnsi="Arial"/>
          <w:sz w:val="17"/>
          <w:szCs w:val="17"/>
          <w:color w:val="auto"/>
        </w:rPr>
        <w:t xml:space="preserve"> </w:t>
      </w:r>
      <w:r>
        <w:rPr>
          <w:rFonts w:ascii="Arial" w:cs="Arial" w:eastAsia="Arial" w:hAnsi="Arial"/>
          <w:sz w:val="17"/>
          <w:szCs w:val="17"/>
          <w:i w:val="1"/>
          <w:iCs w:val="1"/>
          <w:color w:val="auto"/>
        </w:rPr>
        <w:t>cancellation and prepayment in relation to a single Lender / right of cancellation in relation to a Defaulting Lender</w:t>
      </w:r>
      <w:r>
        <w:rPr>
          <w:rFonts w:ascii="Arial" w:cs="Arial" w:eastAsia="Arial" w:hAnsi="Arial"/>
          <w:sz w:val="17"/>
          <w:szCs w:val="17"/>
          <w:color w:val="auto"/>
        </w:rPr>
        <w:t>)), the amount prepaid shall</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 participation of all the Lenders in the Loan rateably (except where otherwise expressly specified in this Agreement).</w:t>
      </w:r>
    </w:p>
    <w:p>
      <w:pPr>
        <w:spacing w:after="0" w:line="165" w:lineRule="exact"/>
        <w:rPr>
          <w:rFonts w:ascii="Arial" w:cs="Arial" w:eastAsia="Arial" w:hAnsi="Arial"/>
          <w:sz w:val="17"/>
          <w:szCs w:val="17"/>
          <w:color w:val="auto"/>
        </w:rPr>
      </w:pPr>
    </w:p>
    <w:p>
      <w:pPr>
        <w:ind w:left="820" w:hanging="531"/>
        <w:spacing w:after="0"/>
        <w:tabs>
          <w:tab w:leader="none" w:pos="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prepayment of the Loan for the account of all the Lenders shall be applied pro rata to each Lender’s participation in the Loan.</w:t>
      </w:r>
    </w:p>
    <w:p>
      <w:pPr>
        <w:spacing w:after="0" w:line="225" w:lineRule="exact"/>
        <w:rPr>
          <w:rFonts w:ascii="Arial" w:cs="Arial" w:eastAsia="Arial" w:hAnsi="Arial"/>
          <w:sz w:val="18"/>
          <w:szCs w:val="18"/>
          <w:color w:val="auto"/>
        </w:rPr>
      </w:pPr>
    </w:p>
    <w:p>
      <w:pPr>
        <w:ind w:left="800" w:right="80" w:hanging="511"/>
        <w:spacing w:after="0" w:line="257" w:lineRule="auto"/>
        <w:tabs>
          <w:tab w:leader="none" w:pos="80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at any time the Borrower prepays the Loan in full and/or the Total Commitments are reduced to zero and, in either case, the Borrower has paid all amounts payable and owing under this Agreement and the other Finance Documents at the time of such prepayment or reduction, the Lenders shall consent to the discharge of all Security Interests created or intended to be created pursuant to the Security Documents and to the release of the Obligors under the Finance Documents pursuant to deeds of release in agreed form executed at the request, cost and expense of the Borrower.</w:t>
      </w:r>
    </w:p>
    <w:p>
      <w:pPr>
        <w:sectPr>
          <w:pgSz w:w="11900" w:h="16838" w:orient="portrait"/>
          <w:cols w:equalWidth="0" w:num="1">
            <w:col w:w="11120"/>
          </w:cols>
          <w:pgMar w:left="440" w:top="341" w:right="339" w:bottom="95" w:gutter="0" w:footer="0" w:header="0"/>
        </w:sectPr>
      </w:pPr>
    </w:p>
    <w:bookmarkStart w:id="285" w:name="page286"/>
    <w:bookmarkEnd w:id="285"/>
    <w:p>
      <w:pPr>
        <w:ind w:left="920" w:right="380" w:hanging="511"/>
        <w:spacing w:after="0" w:line="263" w:lineRule="auto"/>
        <w:tabs>
          <w:tab w:leader="none" w:pos="93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payment to any Hedging Provider of any amount falling due to the relevant Hedging Provider under a Hedging Contract as a result of the termination or close out of that Hedging Contract or any Hedging Transaction under it in accordance with clause 28.12 (</w:t>
      </w:r>
      <w:r>
        <w:rPr>
          <w:rFonts w:ascii="Arial" w:cs="Arial" w:eastAsia="Arial" w:hAnsi="Arial"/>
          <w:sz w:val="18"/>
          <w:szCs w:val="18"/>
          <w:i w:val="1"/>
          <w:iCs w:val="1"/>
          <w:color w:val="auto"/>
        </w:rPr>
        <w:t>Hedging</w:t>
      </w:r>
      <w:r>
        <w:rPr>
          <w:rFonts w:ascii="Arial" w:cs="Arial" w:eastAsia="Arial" w:hAnsi="Arial"/>
          <w:sz w:val="18"/>
          <w:szCs w:val="18"/>
          <w:color w:val="auto"/>
        </w:rPr>
        <w:t>) in relation to that prepayment.</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Mandatory prepayment and cancellation following non-compliance with Sanctions</w:t>
      </w:r>
    </w:p>
    <w:p>
      <w:pPr>
        <w:spacing w:after="0" w:line="229" w:lineRule="exact"/>
        <w:rPr>
          <w:sz w:val="20"/>
          <w:szCs w:val="20"/>
          <w:color w:val="auto"/>
        </w:rPr>
      </w:pPr>
    </w:p>
    <w:p>
      <w:pPr>
        <w:ind w:left="400" w:right="60"/>
        <w:spacing w:after="0" w:line="263" w:lineRule="auto"/>
        <w:rPr>
          <w:sz w:val="20"/>
          <w:szCs w:val="20"/>
          <w:color w:val="auto"/>
        </w:rPr>
      </w:pPr>
      <w:r>
        <w:rPr>
          <w:rFonts w:ascii="Arial" w:cs="Arial" w:eastAsia="Arial" w:hAnsi="Arial"/>
          <w:sz w:val="18"/>
          <w:szCs w:val="18"/>
          <w:color w:val="auto"/>
        </w:rPr>
        <w:t>If the Borrower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 following a notice by the Agent to the Borrower:</w:t>
      </w:r>
    </w:p>
    <w:p>
      <w:pPr>
        <w:spacing w:after="0" w:line="184" w:lineRule="exact"/>
        <w:rPr>
          <w:sz w:val="20"/>
          <w:szCs w:val="20"/>
          <w:color w:val="auto"/>
        </w:rPr>
      </w:pPr>
    </w:p>
    <w:p>
      <w:pPr>
        <w:ind w:left="920" w:hanging="511"/>
        <w:spacing w:after="0"/>
        <w:tabs>
          <w:tab w:leader="none" w:pos="92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Commitment of each Lender will be immediately cancelled and the Total Commitments shall be immediately reduced to zero; and</w:t>
      </w:r>
    </w:p>
    <w:p>
      <w:pPr>
        <w:spacing w:after="0" w:line="236" w:lineRule="exact"/>
        <w:rPr>
          <w:rFonts w:ascii="Arial" w:cs="Arial" w:eastAsia="Arial" w:hAnsi="Arial"/>
          <w:sz w:val="17"/>
          <w:szCs w:val="17"/>
          <w:color w:val="auto"/>
        </w:rPr>
      </w:pPr>
    </w:p>
    <w:p>
      <w:pPr>
        <w:ind w:left="920" w:hanging="511"/>
        <w:spacing w:after="0" w:line="263" w:lineRule="auto"/>
        <w:tabs>
          <w:tab w:leader="none" w:pos="92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Borrower shall repay each Lender’s participation in the Loan on the earlier of (i) the date falling ten (10) Business Days after the Agent notifies the Borrower of such non-compliance and (ii) the date falling ten (10) Business Days after the Borrower becomes aware of such non-compliance.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86" w:name="page287"/>
    <w:bookmarkEnd w:id="286"/>
    <w:p>
      <w:pPr>
        <w:ind w:left="400" w:hanging="392"/>
        <w:spacing w:after="0"/>
        <w:tabs>
          <w:tab w:leader="none" w:pos="40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rate of interest on the Loan for its Interest Period is the percentage rate per annum which is the aggregate of the applicable:</w:t>
      </w:r>
    </w:p>
    <w:p>
      <w:pPr>
        <w:spacing w:after="0" w:line="225" w:lineRule="exact"/>
        <w:rPr>
          <w:sz w:val="20"/>
          <w:szCs w:val="20"/>
          <w:color w:val="auto"/>
        </w:rPr>
      </w:pPr>
    </w:p>
    <w:p>
      <w:pPr>
        <w:ind w:left="920" w:hanging="511"/>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25" w:lineRule="exact"/>
        <w:rPr>
          <w:rFonts w:ascii="Arial" w:cs="Arial" w:eastAsia="Arial" w:hAnsi="Arial"/>
          <w:sz w:val="18"/>
          <w:szCs w:val="18"/>
          <w:color w:val="auto"/>
        </w:rPr>
      </w:pPr>
    </w:p>
    <w:p>
      <w:pPr>
        <w:ind w:left="920" w:hanging="511"/>
        <w:spacing w:after="0"/>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LIBOR.</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22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The Borrower shall pay accrued interest on the Loan on the last day of each Interest Period for the Loan (and, if an Interest Period is longer than three months, on the dates falling at three monthly intervals after the first day of that Interest Period).</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Default interest</w:t>
      </w:r>
    </w:p>
    <w:p>
      <w:pPr>
        <w:spacing w:after="0" w:line="229" w:lineRule="exact"/>
        <w:rPr>
          <w:sz w:val="20"/>
          <w:szCs w:val="20"/>
          <w:color w:val="auto"/>
        </w:rPr>
      </w:pPr>
    </w:p>
    <w:p>
      <w:pPr>
        <w:ind w:left="920" w:hanging="511"/>
        <w:spacing w:after="0" w:line="275" w:lineRule="auto"/>
        <w:tabs>
          <w:tab w:leader="none" w:pos="91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If an Obligor fails to pay any amount payable by it under a Finance Document (other than a Hedging Contract)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Loan for successive Interest Periods, each of a duration selected by the Agent. Any interest accruing under this clause 8.3 shall be immediately payable by the Obligors on demand by the Agent.</w:t>
      </w:r>
    </w:p>
    <w:p>
      <w:pPr>
        <w:spacing w:after="0" w:line="176" w:lineRule="exact"/>
        <w:rPr>
          <w:rFonts w:ascii="Arial" w:cs="Arial" w:eastAsia="Arial" w:hAnsi="Arial"/>
          <w:sz w:val="17"/>
          <w:szCs w:val="17"/>
          <w:color w:val="auto"/>
        </w:rPr>
      </w:pPr>
    </w:p>
    <w:p>
      <w:pPr>
        <w:ind w:left="1020" w:right="80" w:hanging="512"/>
        <w:spacing w:after="0" w:line="277" w:lineRule="auto"/>
        <w:tabs>
          <w:tab w:leader="none" w:pos="103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If any overdue amount consists of all or part of the Loan which became due on a day which was not the last day of an Interest Period for the Loan or the relevant part of it:</w:t>
      </w:r>
    </w:p>
    <w:p>
      <w:pPr>
        <w:spacing w:after="0" w:line="170" w:lineRule="exact"/>
        <w:rPr>
          <w:rFonts w:ascii="Arial" w:cs="Arial" w:eastAsia="Arial" w:hAnsi="Arial"/>
          <w:sz w:val="18"/>
          <w:szCs w:val="18"/>
          <w:color w:val="auto"/>
        </w:rPr>
      </w:pPr>
    </w:p>
    <w:p>
      <w:pPr>
        <w:ind w:left="1560" w:hanging="528"/>
        <w:spacing w:after="0"/>
        <w:tabs>
          <w:tab w:leader="none" w:pos="156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the first Interest Period for that overdue amount shall have a duration equal to the unexpired portion of the current Interest Period; and</w:t>
      </w:r>
    </w:p>
    <w:p>
      <w:pPr>
        <w:spacing w:after="0" w:line="248" w:lineRule="exact"/>
        <w:rPr>
          <w:rFonts w:ascii="Arial" w:cs="Arial" w:eastAsia="Arial" w:hAnsi="Arial"/>
          <w:sz w:val="16"/>
          <w:szCs w:val="16"/>
          <w:color w:val="auto"/>
        </w:rPr>
      </w:pPr>
    </w:p>
    <w:p>
      <w:pPr>
        <w:ind w:left="1540" w:right="80" w:hanging="508"/>
        <w:spacing w:after="0" w:line="277" w:lineRule="auto"/>
        <w:tabs>
          <w:tab w:leader="none" w:pos="1565" w:val="left"/>
        </w:tabs>
        <w:numPr>
          <w:ilvl w:val="2"/>
          <w:numId w:val="256"/>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70" w:lineRule="exact"/>
        <w:rPr>
          <w:sz w:val="20"/>
          <w:szCs w:val="20"/>
          <w:color w:val="auto"/>
        </w:rPr>
      </w:pPr>
    </w:p>
    <w:p>
      <w:pPr>
        <w:ind w:left="920" w:right="400" w:hanging="511"/>
        <w:spacing w:after="0" w:line="277" w:lineRule="auto"/>
        <w:tabs>
          <w:tab w:leader="none" w:pos="92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229" w:lineRule="exact"/>
        <w:rPr>
          <w:sz w:val="20"/>
          <w:szCs w:val="20"/>
          <w:color w:val="auto"/>
        </w:rPr>
      </w:pPr>
    </w:p>
    <w:p>
      <w:pPr>
        <w:ind w:left="920" w:hanging="511"/>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Borrower of the determination of a rate of interest under this Agreement.</w:t>
      </w:r>
    </w:p>
    <w:p>
      <w:pPr>
        <w:spacing w:after="0" w:line="225" w:lineRule="exact"/>
        <w:rPr>
          <w:rFonts w:ascii="Arial" w:cs="Arial" w:eastAsia="Arial" w:hAnsi="Arial"/>
          <w:sz w:val="18"/>
          <w:szCs w:val="18"/>
          <w:color w:val="auto"/>
        </w:rPr>
      </w:pPr>
    </w:p>
    <w:p>
      <w:pPr>
        <w:ind w:left="920" w:hanging="511"/>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Agent shall notify the Borrower of each Funding Rate relating to the Loan (or any relevant part of it) or Unpaid Sum.</w:t>
      </w:r>
    </w:p>
    <w:p>
      <w:pPr>
        <w:spacing w:after="0" w:line="221" w:lineRule="exact"/>
        <w:rPr>
          <w:sz w:val="20"/>
          <w:szCs w:val="20"/>
          <w:color w:val="auto"/>
        </w:rPr>
      </w:pPr>
    </w:p>
    <w:p>
      <w:pPr>
        <w:ind w:left="400" w:hanging="392"/>
        <w:spacing w:after="0"/>
        <w:tabs>
          <w:tab w:leader="none" w:pos="4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229" w:lineRule="exact"/>
        <w:rPr>
          <w:sz w:val="20"/>
          <w:szCs w:val="20"/>
          <w:color w:val="auto"/>
        </w:rPr>
      </w:pPr>
    </w:p>
    <w:p>
      <w:pPr>
        <w:ind w:left="920" w:right="580" w:hanging="511"/>
        <w:spacing w:after="0" w:line="277" w:lineRule="auto"/>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this clause 9, each Interest Period for the Loan will be three (3) months, six (6) months or any other period not exceeding 12 months, as agreed between the Borrower and the Agent (acting on the instructions of all the Lenders).</w:t>
      </w:r>
    </w:p>
    <w:p>
      <w:pPr>
        <w:spacing w:after="0" w:line="170" w:lineRule="exact"/>
        <w:rPr>
          <w:rFonts w:ascii="Arial" w:cs="Arial" w:eastAsia="Arial" w:hAnsi="Arial"/>
          <w:sz w:val="18"/>
          <w:szCs w:val="18"/>
          <w:color w:val="auto"/>
        </w:rPr>
      </w:pPr>
    </w:p>
    <w:p>
      <w:pPr>
        <w:ind w:left="920" w:hanging="511"/>
        <w:spacing w:after="0"/>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Interest Period shall extend beyond the Final Repayment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87" w:name="page288"/>
    <w:bookmarkEnd w:id="287"/>
    <w:p>
      <w:pPr>
        <w:ind w:left="920" w:right="360" w:hanging="511"/>
        <w:spacing w:after="0" w:line="277" w:lineRule="auto"/>
        <w:tabs>
          <w:tab w:leader="none" w:pos="92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first Interest Period for the Loan shall start on the Utilisation Date and each subsequent Interest Period shall start on the last day of its preceding Interest Period.</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Interest periods overrunning Repayment Dates</w:t>
      </w:r>
    </w:p>
    <w:p>
      <w:pPr>
        <w:spacing w:after="0" w:line="229" w:lineRule="exact"/>
        <w:rPr>
          <w:sz w:val="20"/>
          <w:szCs w:val="20"/>
          <w:color w:val="auto"/>
        </w:rPr>
      </w:pPr>
    </w:p>
    <w:p>
      <w:pPr>
        <w:ind w:left="400" w:right="60"/>
        <w:spacing w:after="0" w:line="301" w:lineRule="auto"/>
        <w:rPr>
          <w:sz w:val="20"/>
          <w:szCs w:val="20"/>
          <w:color w:val="auto"/>
        </w:rPr>
      </w:pPr>
      <w:r>
        <w:rPr>
          <w:rFonts w:ascii="Arial" w:cs="Arial" w:eastAsia="Arial" w:hAnsi="Arial"/>
          <w:sz w:val="16"/>
          <w:szCs w:val="16"/>
          <w:color w:val="auto"/>
        </w:rPr>
        <w:t>If the Borrower selects and the Lenders agree an Interest Period in respect of the Loan which would overrun any later Repayment Date, the Loan shall be divided into parts corresponding to the amounts by which the Total Commitments are scheduled to be reduced under clause 6.2 (</w:t>
      </w:r>
      <w:r>
        <w:rPr>
          <w:rFonts w:ascii="Arial" w:cs="Arial" w:eastAsia="Arial" w:hAnsi="Arial"/>
          <w:sz w:val="16"/>
          <w:szCs w:val="16"/>
          <w:i w:val="1"/>
          <w:iCs w:val="1"/>
          <w:color w:val="auto"/>
        </w:rPr>
        <w:t>Scheduled</w:t>
      </w:r>
      <w:r>
        <w:rPr>
          <w:rFonts w:ascii="Arial" w:cs="Arial" w:eastAsia="Arial" w:hAnsi="Arial"/>
          <w:sz w:val="16"/>
          <w:szCs w:val="16"/>
          <w:color w:val="auto"/>
        </w:rPr>
        <w:t xml:space="preserve"> </w:t>
      </w:r>
      <w:r>
        <w:rPr>
          <w:rFonts w:ascii="Arial" w:cs="Arial" w:eastAsia="Arial" w:hAnsi="Arial"/>
          <w:sz w:val="16"/>
          <w:szCs w:val="16"/>
          <w:i w:val="1"/>
          <w:iCs w:val="1"/>
          <w:color w:val="auto"/>
        </w:rPr>
        <w:t>repayment of Facility</w:t>
      </w:r>
      <w:r>
        <w:rPr>
          <w:rFonts w:ascii="Arial" w:cs="Arial" w:eastAsia="Arial" w:hAnsi="Arial"/>
          <w:sz w:val="16"/>
          <w:szCs w:val="16"/>
          <w:color w:val="auto"/>
        </w:rPr>
        <w:t>) on each of the Repayment Dates falling during such Interest Period (each of which shall have a separate Interest Period ending</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relevant Repayment Date) and to the balance of the Loan (which shall have the Interest Period selected by the Borrower).</w:t>
      </w:r>
    </w:p>
    <w:p>
      <w:pPr>
        <w:spacing w:after="0" w:line="1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Non-Business Days</w:t>
      </w:r>
    </w:p>
    <w:p>
      <w:pPr>
        <w:spacing w:after="0" w:line="229"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6" w:lineRule="exact"/>
        <w:rPr>
          <w:sz w:val="20"/>
          <w:szCs w:val="20"/>
          <w:color w:val="auto"/>
        </w:rPr>
      </w:pPr>
    </w:p>
    <w:p>
      <w:pPr>
        <w:ind w:right="7980" w:firstLine="8"/>
        <w:spacing w:after="0" w:line="566" w:lineRule="auto"/>
        <w:tabs>
          <w:tab w:leader="none" w:pos="396" w:val="left"/>
        </w:tabs>
        <w:numPr>
          <w:ilvl w:val="0"/>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Changes to the calculation of interest 10.1 Unavailability of Screen Rate</w:t>
      </w:r>
    </w:p>
    <w:p>
      <w:pPr>
        <w:ind w:left="920" w:right="420" w:hanging="511"/>
        <w:spacing w:after="0" w:line="277" w:lineRule="auto"/>
        <w:tabs>
          <w:tab w:leader="none" w:pos="91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for that Interest Period shall be the Interpolated Screen Rate for a period equal in length to that Interest Period.</w:t>
      </w:r>
    </w:p>
    <w:p>
      <w:pPr>
        <w:spacing w:after="0" w:line="170" w:lineRule="exact"/>
        <w:rPr>
          <w:rFonts w:ascii="Arial" w:cs="Arial" w:eastAsia="Arial" w:hAnsi="Arial"/>
          <w:sz w:val="18"/>
          <w:szCs w:val="18"/>
          <w:color w:val="auto"/>
        </w:rPr>
      </w:pPr>
    </w:p>
    <w:p>
      <w:pPr>
        <w:ind w:left="920" w:hanging="511"/>
        <w:spacing w:after="0"/>
        <w:tabs>
          <w:tab w:leader="none" w:pos="9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relevant Interest Period and it is not possible to calculate the Interpolated Screen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shall be no LIBOR for that Interest Period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Market disruption</w:t>
      </w:r>
    </w:p>
    <w:p>
      <w:pPr>
        <w:spacing w:after="0" w:line="229" w:lineRule="exact"/>
        <w:rPr>
          <w:sz w:val="20"/>
          <w:szCs w:val="20"/>
          <w:color w:val="auto"/>
        </w:rPr>
      </w:pPr>
    </w:p>
    <w:p>
      <w:pPr>
        <w:ind w:left="400"/>
        <w:spacing w:after="0" w:line="286" w:lineRule="auto"/>
        <w:rPr>
          <w:sz w:val="20"/>
          <w:szCs w:val="20"/>
          <w:color w:val="auto"/>
        </w:rPr>
      </w:pPr>
      <w:r>
        <w:rPr>
          <w:rFonts w:ascii="Arial" w:cs="Arial" w:eastAsia="Arial" w:hAnsi="Arial"/>
          <w:sz w:val="17"/>
          <w:szCs w:val="17"/>
          <w:color w:val="auto"/>
        </w:rPr>
        <w:t>If before close of business in London on the Quotation Day for an Interest Period the Agent receives notifications from a Lender or Lenders that the cost to it or them of funding its participation in the Loan (or any relevant part of it) from whatever source it may reasonably select, would be in excess of LIBOR, then clause 10.3 (</w:t>
      </w:r>
      <w:r>
        <w:rPr>
          <w:rFonts w:ascii="Arial" w:cs="Arial" w:eastAsia="Arial" w:hAnsi="Arial"/>
          <w:sz w:val="17"/>
          <w:szCs w:val="17"/>
          <w:i w:val="1"/>
          <w:iCs w:val="1"/>
          <w:color w:val="auto"/>
        </w:rPr>
        <w:t>Cost of funds</w:t>
      </w:r>
      <w:r>
        <w:rPr>
          <w:rFonts w:ascii="Arial" w:cs="Arial" w:eastAsia="Arial" w:hAnsi="Arial"/>
          <w:sz w:val="17"/>
          <w:szCs w:val="17"/>
          <w:color w:val="auto"/>
        </w:rPr>
        <w:t>) shall apply to the Loan (or the relevant part of it) for the relevant Interest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Cost of funds</w:t>
      </w:r>
    </w:p>
    <w:p>
      <w:pPr>
        <w:spacing w:after="0" w:line="229" w:lineRule="exact"/>
        <w:rPr>
          <w:sz w:val="20"/>
          <w:szCs w:val="20"/>
          <w:color w:val="auto"/>
        </w:rPr>
      </w:pPr>
    </w:p>
    <w:p>
      <w:pPr>
        <w:ind w:left="920" w:right="100" w:hanging="511"/>
        <w:spacing w:after="0" w:line="277" w:lineRule="auto"/>
        <w:tabs>
          <w:tab w:leader="none" w:pos="91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Loan (or any relevant part of it) for the Interest Period shall be the percentage rate per annum which is the sum of:</w:t>
      </w:r>
    </w:p>
    <w:p>
      <w:pPr>
        <w:spacing w:after="0" w:line="170" w:lineRule="exact"/>
        <w:rPr>
          <w:rFonts w:ascii="Arial" w:cs="Arial" w:eastAsia="Arial" w:hAnsi="Arial"/>
          <w:sz w:val="18"/>
          <w:szCs w:val="18"/>
          <w:color w:val="auto"/>
        </w:rPr>
      </w:pPr>
    </w:p>
    <w:p>
      <w:pPr>
        <w:ind w:left="1440" w:hanging="512"/>
        <w:spacing w:after="0"/>
        <w:tabs>
          <w:tab w:leader="none" w:pos="14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rate notified to the Agent by that Lender as soon as practicable and in any event by close of business on the date falling ten</w:t>
      </w:r>
    </w:p>
    <w:p>
      <w:pPr>
        <w:spacing w:after="0" w:line="34" w:lineRule="exact"/>
        <w:rPr>
          <w:rFonts w:ascii="Arial" w:cs="Arial" w:eastAsia="Arial" w:hAnsi="Arial"/>
          <w:sz w:val="17"/>
          <w:szCs w:val="17"/>
          <w:color w:val="auto"/>
        </w:rPr>
      </w:pPr>
    </w:p>
    <w:p>
      <w:pPr>
        <w:ind w:left="1440" w:right="20" w:hanging="6"/>
        <w:spacing w:after="0" w:line="323" w:lineRule="auto"/>
        <w:tabs>
          <w:tab w:leader="none" w:pos="1785" w:val="left"/>
        </w:tabs>
        <w:numPr>
          <w:ilvl w:val="2"/>
          <w:numId w:val="263"/>
        </w:numPr>
        <w:rPr>
          <w:rFonts w:ascii="Arial" w:cs="Arial" w:eastAsia="Arial" w:hAnsi="Arial"/>
          <w:sz w:val="16"/>
          <w:szCs w:val="16"/>
          <w:color w:val="auto"/>
        </w:rPr>
      </w:pPr>
      <w:r>
        <w:rPr>
          <w:rFonts w:ascii="Arial" w:cs="Arial" w:eastAsia="Arial" w:hAnsi="Arial"/>
          <w:sz w:val="16"/>
          <w:szCs w:val="16"/>
          <w:color w:val="auto"/>
        </w:rPr>
        <w:t>Business Days after the Quotation Day (or, if earlier, on the date falling ten (10) Business Days before the date on which interest is due to be paid in respect of that Interest Period), to be that which expresses as a percentage rate per annum the cost to the relevant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8" w:name="page289"/>
    <w:bookmarkEnd w:id="288"/>
    <w:p>
      <w:pPr>
        <w:ind w:left="1560"/>
        <w:spacing w:after="0"/>
        <w:rPr>
          <w:sz w:val="20"/>
          <w:szCs w:val="20"/>
          <w:color w:val="auto"/>
        </w:rPr>
      </w:pPr>
      <w:r>
        <w:rPr>
          <w:rFonts w:ascii="Arial" w:cs="Arial" w:eastAsia="Arial" w:hAnsi="Arial"/>
          <w:sz w:val="18"/>
          <w:szCs w:val="18"/>
          <w:color w:val="auto"/>
        </w:rPr>
        <w:t>Lender of funding its participation in the Loan (or relevant part of it) from whatever source it may reasonably select.</w:t>
      </w:r>
    </w:p>
    <w:p>
      <w:pPr>
        <w:spacing w:after="0" w:line="225" w:lineRule="exact"/>
        <w:rPr>
          <w:sz w:val="20"/>
          <w:szCs w:val="20"/>
          <w:color w:val="auto"/>
        </w:rPr>
      </w:pPr>
    </w:p>
    <w:p>
      <w:pPr>
        <w:ind w:left="920" w:right="60" w:hanging="511"/>
        <w:spacing w:after="0" w:line="263" w:lineRule="auto"/>
        <w:tabs>
          <w:tab w:leader="none" w:pos="92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this clause 10.3 applies and the Agent or the Parent so requires, the Agent and the Parent shall enter into negotiations (for a period of not more than 30 days) with a view to agreeing a substitute basis for determining the rate of interest. If a substitute basis for determining the rate of interest is not agreed, paragraph (a) shall apply.</w:t>
      </w:r>
    </w:p>
    <w:p>
      <w:pPr>
        <w:spacing w:after="0" w:line="183" w:lineRule="exact"/>
        <w:rPr>
          <w:rFonts w:ascii="Arial" w:cs="Arial" w:eastAsia="Arial" w:hAnsi="Arial"/>
          <w:sz w:val="18"/>
          <w:szCs w:val="18"/>
          <w:color w:val="auto"/>
        </w:rPr>
      </w:pPr>
    </w:p>
    <w:p>
      <w:pPr>
        <w:ind w:left="920" w:right="20" w:hanging="511"/>
        <w:spacing w:after="0" w:line="277" w:lineRule="auto"/>
        <w:tabs>
          <w:tab w:leader="none" w:pos="9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Subject to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any substitute or alternative basis agreed pursuant to paragraph (b) above shall, with the prior consent of all the Lenders and the Parent, be binding on all Parties.</w:t>
      </w:r>
    </w:p>
    <w:p>
      <w:pPr>
        <w:spacing w:after="0" w:line="170" w:lineRule="exact"/>
        <w:rPr>
          <w:rFonts w:ascii="Arial" w:cs="Arial" w:eastAsia="Arial" w:hAnsi="Arial"/>
          <w:sz w:val="18"/>
          <w:szCs w:val="18"/>
          <w:color w:val="auto"/>
        </w:rPr>
      </w:pPr>
    </w:p>
    <w:p>
      <w:pPr>
        <w:ind w:left="920" w:hanging="511"/>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cost to that Lender of funding its participation in the Loan (or relevant part of it) for that Interest Period shall be deemed, for the purposes of paragraph (a) above, to be LIBOR.</w:t>
      </w:r>
    </w:p>
    <w:p>
      <w:pPr>
        <w:spacing w:after="0" w:line="170" w:lineRule="exact"/>
        <w:rPr>
          <w:sz w:val="20"/>
          <w:szCs w:val="20"/>
          <w:color w:val="auto"/>
        </w:rPr>
      </w:pPr>
    </w:p>
    <w:p>
      <w:pPr>
        <w:ind w:left="940" w:hanging="531"/>
        <w:spacing w:after="0"/>
        <w:tabs>
          <w:tab w:leader="none" w:pos="9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distributions to the Lenders pursuant to this clause 10.3 shall be made on the basis of that Lender’s Funding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Notification to Parent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Parent.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Break Costs</w:t>
      </w:r>
    </w:p>
    <w:p>
      <w:pPr>
        <w:spacing w:after="0" w:line="229" w:lineRule="exact"/>
        <w:rPr>
          <w:sz w:val="20"/>
          <w:szCs w:val="20"/>
          <w:color w:val="auto"/>
        </w:rPr>
      </w:pPr>
    </w:p>
    <w:p>
      <w:pPr>
        <w:ind w:left="920" w:hanging="511"/>
        <w:spacing w:after="0" w:line="263" w:lineRule="auto"/>
        <w:tabs>
          <w:tab w:leader="none" w:pos="91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Borrower shall, within three (3) Business Days of demand by a Finance Party, pay to that Finance Party its Break Costs attributable to all or any part of the Loan or Unpaid Sum being paid by the Borrower on a day other than the last day of an Interest Period for the Loan or Unpaid Sum or relevant part of it.</w:t>
      </w:r>
    </w:p>
    <w:p>
      <w:pPr>
        <w:spacing w:after="0" w:line="183" w:lineRule="exact"/>
        <w:rPr>
          <w:rFonts w:ascii="Arial" w:cs="Arial" w:eastAsia="Arial" w:hAnsi="Arial"/>
          <w:sz w:val="18"/>
          <w:szCs w:val="18"/>
          <w:color w:val="auto"/>
        </w:rPr>
      </w:pPr>
    </w:p>
    <w:p>
      <w:pPr>
        <w:ind w:left="920" w:right="220" w:hanging="511"/>
        <w:spacing w:after="0" w:line="277" w:lineRule="auto"/>
        <w:tabs>
          <w:tab w:leader="none" w:pos="92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6" w:lineRule="exact"/>
        <w:rPr>
          <w:sz w:val="20"/>
          <w:szCs w:val="20"/>
          <w:color w:val="auto"/>
        </w:rPr>
      </w:pPr>
    </w:p>
    <w:p>
      <w:pPr>
        <w:jc w:val="right"/>
        <w:ind w:right="10380" w:firstLine="8"/>
        <w:spacing w:after="0" w:line="603" w:lineRule="auto"/>
        <w:tabs>
          <w:tab w:leader="none" w:pos="386" w:val="left"/>
        </w:tabs>
        <w:numPr>
          <w:ilvl w:val="0"/>
          <w:numId w:val="267"/>
        </w:numPr>
        <w:rPr>
          <w:rFonts w:ascii="Arial" w:cs="Arial" w:eastAsia="Arial" w:hAnsi="Arial"/>
          <w:sz w:val="15"/>
          <w:szCs w:val="15"/>
          <w:b w:val="1"/>
          <w:bCs w:val="1"/>
          <w:color w:val="auto"/>
        </w:rPr>
      </w:pPr>
      <w:r>
        <w:rPr>
          <w:rFonts w:ascii="Arial" w:cs="Arial" w:eastAsia="Arial" w:hAnsi="Arial"/>
          <w:sz w:val="15"/>
          <w:szCs w:val="15"/>
          <w:b w:val="1"/>
          <w:bCs w:val="1"/>
          <w:color w:val="auto"/>
        </w:rPr>
        <w:t>Fees 11.1 Fees</w:t>
      </w:r>
    </w:p>
    <w:p>
      <w:pPr>
        <w:spacing w:after="0" w:line="1"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The Borrower shall pay to the Agent (for the account of the Arranger and the Lenders) fees in the amounts and at the times agreed in the applicable Fee Letter.</w:t>
      </w:r>
    </w:p>
    <w:p>
      <w:pPr>
        <w:spacing w:after="0" w:line="166" w:lineRule="exact"/>
        <w:rPr>
          <w:sz w:val="20"/>
          <w:szCs w:val="20"/>
          <w:color w:val="auto"/>
        </w:rPr>
      </w:pPr>
    </w:p>
    <w:p>
      <w:pPr>
        <w:ind w:right="8460" w:firstLine="8"/>
        <w:spacing w:after="0" w:line="500" w:lineRule="auto"/>
        <w:tabs>
          <w:tab w:leader="none" w:pos="396"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 12.1 Definitions</w:t>
      </w:r>
    </w:p>
    <w:p>
      <w:pPr>
        <w:spacing w:after="0" w:line="1" w:lineRule="exact"/>
        <w:rPr>
          <w:rFonts w:ascii="Arial" w:cs="Arial" w:eastAsia="Arial" w:hAnsi="Arial"/>
          <w:sz w:val="18"/>
          <w:szCs w:val="18"/>
          <w:b w:val="1"/>
          <w:bCs w:val="1"/>
          <w:color w:val="auto"/>
        </w:rPr>
      </w:pPr>
    </w:p>
    <w:p>
      <w:pPr>
        <w:ind w:left="920" w:hanging="511"/>
        <w:spacing w:after="0"/>
        <w:tabs>
          <w:tab w:leader="none" w:pos="920" w:val="left"/>
        </w:tabs>
        <w:numPr>
          <w:ilvl w:val="1"/>
          <w:numId w:val="268"/>
        </w:numPr>
        <w:rPr>
          <w:rFonts w:ascii="Arial" w:cs="Arial" w:eastAsia="Arial" w:hAnsi="Arial"/>
          <w:sz w:val="18"/>
          <w:szCs w:val="18"/>
          <w:color w:val="auto"/>
        </w:rPr>
      </w:pPr>
      <w:r>
        <w:rPr>
          <w:rFonts w:ascii="Arial" w:cs="Arial" w:eastAsia="Arial" w:hAnsi="Arial"/>
          <w:sz w:val="18"/>
          <w:szCs w:val="18"/>
          <w:b w:val="1"/>
          <w:bCs w:val="1"/>
          <w:color w:val="auto"/>
        </w:rPr>
        <w:t>In 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20" w:right="12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or, in relation to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insofar as 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relates to interest on any amount demanded by that Indemnified Person under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any Indemnified Person, which is or will be subject to any liability, or required to</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89" w:name="page290"/>
    <w:bookmarkEnd w:id="289"/>
    <w:p>
      <w:pPr>
        <w:ind w:left="920" w:right="440"/>
        <w:spacing w:after="0" w:line="277" w:lineRule="auto"/>
        <w:rPr>
          <w:sz w:val="20"/>
          <w:szCs w:val="20"/>
          <w:color w:val="auto"/>
        </w:rPr>
      </w:pPr>
      <w:r>
        <w:rPr>
          <w:rFonts w:ascii="Arial" w:cs="Arial" w:eastAsia="Arial" w:hAnsi="Arial"/>
          <w:sz w:val="18"/>
          <w:szCs w:val="18"/>
          <w:color w:val="auto"/>
        </w:rPr>
        <w:t>make any payment, for or on account of Tax in relation to a sum received or receivable (or any sum deemed for the purposes of Tax to be received or receivable) under a Finance Document.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25"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 a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other than a FATCA Deduction.</w:t>
      </w:r>
    </w:p>
    <w:p>
      <w:pPr>
        <w:spacing w:after="0" w:line="162" w:lineRule="exact"/>
        <w:rPr>
          <w:sz w:val="20"/>
          <w:szCs w:val="20"/>
          <w:color w:val="auto"/>
        </w:rPr>
      </w:pPr>
    </w:p>
    <w:p>
      <w:pPr>
        <w:ind w:left="920" w:right="420"/>
        <w:spacing w:after="0" w:line="282"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2" w:lineRule="exact"/>
        <w:rPr>
          <w:sz w:val="20"/>
          <w:szCs w:val="20"/>
          <w:color w:val="auto"/>
        </w:rPr>
      </w:pPr>
    </w:p>
    <w:p>
      <w:pPr>
        <w:ind w:left="920" w:right="200" w:hanging="511"/>
        <w:spacing w:after="0" w:line="282" w:lineRule="auto"/>
        <w:tabs>
          <w:tab w:leader="none" w:pos="92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 acting in good faith.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Tax gross-up</w:t>
      </w:r>
    </w:p>
    <w:p>
      <w:pPr>
        <w:spacing w:after="0" w:line="229" w:lineRule="exact"/>
        <w:rPr>
          <w:sz w:val="20"/>
          <w:szCs w:val="20"/>
          <w:color w:val="auto"/>
        </w:rPr>
      </w:pPr>
    </w:p>
    <w:p>
      <w:pPr>
        <w:ind w:left="920" w:right="260" w:hanging="511"/>
        <w:spacing w:after="0" w:line="277" w:lineRule="auto"/>
        <w:tabs>
          <w:tab w:leader="none" w:pos="91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70" w:lineRule="exact"/>
        <w:rPr>
          <w:rFonts w:ascii="Arial" w:cs="Arial" w:eastAsia="Arial" w:hAnsi="Arial"/>
          <w:sz w:val="18"/>
          <w:szCs w:val="18"/>
          <w:color w:val="auto"/>
        </w:rPr>
      </w:pPr>
    </w:p>
    <w:p>
      <w:pPr>
        <w:ind w:left="920" w:right="240" w:hanging="511"/>
        <w:spacing w:after="0" w:line="259" w:lineRule="auto"/>
        <w:tabs>
          <w:tab w:leader="none" w:pos="92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86" w:lineRule="exact"/>
        <w:rPr>
          <w:rFonts w:ascii="Arial" w:cs="Arial" w:eastAsia="Arial" w:hAnsi="Arial"/>
          <w:sz w:val="18"/>
          <w:szCs w:val="18"/>
          <w:color w:val="auto"/>
        </w:rPr>
      </w:pPr>
    </w:p>
    <w:p>
      <w:pPr>
        <w:ind w:left="920" w:right="80" w:hanging="511"/>
        <w:spacing w:after="0" w:line="263" w:lineRule="auto"/>
        <w:tabs>
          <w:tab w:leader="none" w:pos="92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83" w:lineRule="exact"/>
        <w:rPr>
          <w:rFonts w:ascii="Arial" w:cs="Arial" w:eastAsia="Arial" w:hAnsi="Arial"/>
          <w:sz w:val="18"/>
          <w:szCs w:val="18"/>
          <w:color w:val="auto"/>
        </w:rPr>
      </w:pPr>
    </w:p>
    <w:p>
      <w:pPr>
        <w:ind w:left="920" w:right="200" w:hanging="511"/>
        <w:spacing w:after="0" w:line="277" w:lineRule="auto"/>
        <w:tabs>
          <w:tab w:leader="none" w:pos="92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70" w:lineRule="exact"/>
        <w:rPr>
          <w:rFonts w:ascii="Arial" w:cs="Arial" w:eastAsia="Arial" w:hAnsi="Arial"/>
          <w:sz w:val="18"/>
          <w:szCs w:val="18"/>
          <w:color w:val="auto"/>
        </w:rPr>
      </w:pPr>
    </w:p>
    <w:p>
      <w:pPr>
        <w:ind w:left="920" w:hanging="511"/>
        <w:spacing w:after="0" w:line="286" w:lineRule="auto"/>
        <w:tabs>
          <w:tab w:leader="none" w:pos="92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5" w:lineRule="exact"/>
        <w:rPr>
          <w:rFonts w:ascii="Arial" w:cs="Arial" w:eastAsia="Arial" w:hAnsi="Arial"/>
          <w:sz w:val="17"/>
          <w:szCs w:val="17"/>
          <w:color w:val="auto"/>
        </w:rPr>
      </w:pPr>
    </w:p>
    <w:p>
      <w:pPr>
        <w:ind w:left="920" w:right="480" w:hanging="511"/>
        <w:spacing w:after="0" w:line="277" w:lineRule="auto"/>
        <w:tabs>
          <w:tab w:leader="none" w:pos="91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Paragraphs (a) to (e) above shall not apply in respect of any payments under any Hedging Contract, where the gross-up provisions of the relevant Hedging Master Agreement itself shall apply.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Tax indemnity</w:t>
      </w:r>
    </w:p>
    <w:p>
      <w:pPr>
        <w:spacing w:after="0" w:line="229" w:lineRule="exact"/>
        <w:rPr>
          <w:sz w:val="20"/>
          <w:szCs w:val="20"/>
          <w:color w:val="auto"/>
        </w:rPr>
      </w:pPr>
    </w:p>
    <w:p>
      <w:pPr>
        <w:ind w:left="920" w:right="80" w:hanging="511"/>
        <w:spacing w:after="0" w:line="263" w:lineRule="auto"/>
        <w:tabs>
          <w:tab w:leader="none" w:pos="91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Obligor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83" w:lineRule="exact"/>
        <w:rPr>
          <w:rFonts w:ascii="Arial" w:cs="Arial" w:eastAsia="Arial" w:hAnsi="Arial"/>
          <w:sz w:val="18"/>
          <w:szCs w:val="18"/>
          <w:color w:val="auto"/>
        </w:rPr>
      </w:pPr>
    </w:p>
    <w:p>
      <w:pPr>
        <w:ind w:left="920" w:hanging="511"/>
        <w:spacing w:after="0"/>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0" w:name="page291"/>
    <w:bookmarkEnd w:id="290"/>
    <w:p>
      <w:pPr>
        <w:ind w:left="1940" w:right="160" w:hanging="506"/>
        <w:spacing w:after="0" w:line="277" w:lineRule="auto"/>
        <w:tabs>
          <w:tab w:leader="none" w:pos="195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70" w:lineRule="exact"/>
        <w:rPr>
          <w:rFonts w:ascii="Arial" w:cs="Arial" w:eastAsia="Arial" w:hAnsi="Arial"/>
          <w:sz w:val="18"/>
          <w:szCs w:val="18"/>
          <w:color w:val="auto"/>
        </w:rPr>
      </w:pPr>
    </w:p>
    <w:p>
      <w:pPr>
        <w:ind w:left="1940" w:right="560" w:hanging="506"/>
        <w:spacing w:after="0" w:line="277" w:lineRule="auto"/>
        <w:tabs>
          <w:tab w:leader="none" w:pos="194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70" w:lineRule="exact"/>
        <w:rPr>
          <w:sz w:val="20"/>
          <w:szCs w:val="20"/>
          <w:color w:val="auto"/>
        </w:rPr>
      </w:pPr>
    </w:p>
    <w:p>
      <w:pPr>
        <w:ind w:left="1440" w:right="360"/>
        <w:spacing w:after="0" w:line="277"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70" w:lineRule="exact"/>
        <w:rPr>
          <w:sz w:val="20"/>
          <w:szCs w:val="20"/>
          <w:color w:val="auto"/>
        </w:rPr>
      </w:pPr>
    </w:p>
    <w:p>
      <w:pPr>
        <w:ind w:left="1440" w:right="160" w:hanging="512"/>
        <w:spacing w:after="0" w:line="277" w:lineRule="auto"/>
        <w:tabs>
          <w:tab w:leader="none" w:pos="146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60" w:hanging="532"/>
        <w:spacing w:after="0"/>
        <w:tabs>
          <w:tab w:leader="none" w:pos="14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 payment under clause 12.4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920" w:right="260" w:hanging="511"/>
        <w:spacing w:after="0" w:line="277" w:lineRule="auto"/>
        <w:tabs>
          <w:tab w:leader="none" w:pos="92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 and the Guarantors.</w:t>
      </w:r>
    </w:p>
    <w:p>
      <w:pPr>
        <w:spacing w:after="0" w:line="170" w:lineRule="exact"/>
        <w:rPr>
          <w:rFonts w:ascii="Arial" w:cs="Arial" w:eastAsia="Arial" w:hAnsi="Arial"/>
          <w:sz w:val="18"/>
          <w:szCs w:val="18"/>
          <w:color w:val="auto"/>
        </w:rPr>
      </w:pPr>
    </w:p>
    <w:p>
      <w:pPr>
        <w:ind w:left="920" w:hanging="511"/>
        <w:spacing w:after="0"/>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Indemnities on after Tax basis</w:t>
      </w:r>
    </w:p>
    <w:p>
      <w:pPr>
        <w:spacing w:after="0" w:line="229" w:lineRule="exact"/>
        <w:rPr>
          <w:sz w:val="20"/>
          <w:szCs w:val="20"/>
          <w:color w:val="auto"/>
        </w:rPr>
      </w:pPr>
    </w:p>
    <w:p>
      <w:pPr>
        <w:ind w:left="920" w:hanging="511"/>
        <w:spacing w:after="0" w:line="257" w:lineRule="auto"/>
        <w:tabs>
          <w:tab w:leader="none" w:pos="91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and to the extent that any sum payable to any Protected Party by the Borrower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 shall pay that Protected Party such additional sum as (after taking into account any Tax suffered by that Protected Party on such additional sum) shall be required to make up the relevant deficit.</w:t>
      </w:r>
    </w:p>
    <w:p>
      <w:pPr>
        <w:spacing w:after="0" w:line="183" w:lineRule="exact"/>
        <w:rPr>
          <w:rFonts w:ascii="Arial" w:cs="Arial" w:eastAsia="Arial" w:hAnsi="Arial"/>
          <w:sz w:val="18"/>
          <w:szCs w:val="18"/>
          <w:color w:val="auto"/>
        </w:rPr>
      </w:pPr>
    </w:p>
    <w:p>
      <w:pPr>
        <w:ind w:left="920" w:hanging="511"/>
        <w:spacing w:after="0" w:line="281" w:lineRule="auto"/>
        <w:tabs>
          <w:tab w:leader="none" w:pos="92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If and to the extent that any sum (the </w:t>
      </w:r>
      <w:r>
        <w:rPr>
          <w:rFonts w:ascii="Arial" w:cs="Arial" w:eastAsia="Arial" w:hAnsi="Arial"/>
          <w:sz w:val="17"/>
          <w:szCs w:val="17"/>
          <w:b w:val="1"/>
          <w:bCs w:val="1"/>
          <w:color w:val="auto"/>
        </w:rPr>
        <w:t>Indemnity Sum</w:t>
      </w:r>
      <w:r>
        <w:rPr>
          <w:rFonts w:ascii="Arial" w:cs="Arial" w:eastAsia="Arial" w:hAnsi="Arial"/>
          <w:sz w:val="17"/>
          <w:szCs w:val="17"/>
          <w:color w:val="auto"/>
        </w:rPr>
        <w:t xml:space="preserve">) constituting (directly or indirectly) an indemnity to any Protected Party but paid by the Borrower to any person other than that Protected Party, shall be treated as taxable in the hands of the Protected Party, the Borrower shall pay to that Protected Party such sum (the </w:t>
      </w:r>
      <w:r>
        <w:rPr>
          <w:rFonts w:ascii="Arial" w:cs="Arial" w:eastAsia="Arial" w:hAnsi="Arial"/>
          <w:sz w:val="17"/>
          <w:szCs w:val="17"/>
          <w:b w:val="1"/>
          <w:bCs w:val="1"/>
          <w:color w:val="auto"/>
        </w:rPr>
        <w:t>Compensating Sum</w:t>
      </w:r>
      <w:r>
        <w:rPr>
          <w:rFonts w:ascii="Arial" w:cs="Arial" w:eastAsia="Arial" w:hAnsi="Arial"/>
          <w:sz w:val="17"/>
          <w:szCs w:val="17"/>
          <w:color w:val="auto"/>
        </w:rPr>
        <w:t>) as (after taking into account any Tax suffered by that Protected Party on the Compensating Sum) shall reimburse that Protected Party for any Tax suffered by it in respect of the Indemnity Sum.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FATCA Information</w:t>
      </w:r>
    </w:p>
    <w:p>
      <w:pPr>
        <w:spacing w:after="0" w:line="229" w:lineRule="exact"/>
        <w:rPr>
          <w:sz w:val="20"/>
          <w:szCs w:val="20"/>
          <w:color w:val="auto"/>
        </w:rPr>
      </w:pPr>
    </w:p>
    <w:p>
      <w:pPr>
        <w:ind w:left="920" w:hanging="511"/>
        <w:spacing w:after="0"/>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25" w:lineRule="exact"/>
        <w:rPr>
          <w:rFonts w:ascii="Arial" w:cs="Arial" w:eastAsia="Arial" w:hAnsi="Arial"/>
          <w:sz w:val="18"/>
          <w:szCs w:val="18"/>
          <w:color w:val="auto"/>
        </w:rPr>
      </w:pPr>
    </w:p>
    <w:p>
      <w:pPr>
        <w:ind w:left="1960" w:hanging="526"/>
        <w:spacing w:after="0"/>
        <w:tabs>
          <w:tab w:leader="none" w:pos="1960" w:val="left"/>
        </w:tabs>
        <w:numPr>
          <w:ilvl w:val="2"/>
          <w:numId w:val="276"/>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25" w:lineRule="exact"/>
        <w:rPr>
          <w:rFonts w:ascii="Arial" w:cs="Arial" w:eastAsia="Arial" w:hAnsi="Arial"/>
          <w:sz w:val="18"/>
          <w:szCs w:val="18"/>
          <w:color w:val="auto"/>
        </w:rPr>
      </w:pPr>
    </w:p>
    <w:p>
      <w:pPr>
        <w:ind w:left="1940" w:hanging="506"/>
        <w:spacing w:after="0"/>
        <w:tabs>
          <w:tab w:leader="none" w:pos="1940" w:val="left"/>
        </w:tabs>
        <w:numPr>
          <w:ilvl w:val="2"/>
          <w:numId w:val="276"/>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1" w:name="page292"/>
    <w:bookmarkEnd w:id="291"/>
    <w:p>
      <w:pPr>
        <w:ind w:left="1040" w:right="420" w:hanging="512"/>
        <w:spacing w:after="0" w:line="277" w:lineRule="auto"/>
        <w:tabs>
          <w:tab w:leader="none" w:pos="106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0" w:lineRule="exact"/>
        <w:rPr>
          <w:rFonts w:ascii="Arial" w:cs="Arial" w:eastAsia="Arial" w:hAnsi="Arial"/>
          <w:sz w:val="18"/>
          <w:szCs w:val="18"/>
          <w:color w:val="auto"/>
        </w:rPr>
      </w:pPr>
    </w:p>
    <w:p>
      <w:pPr>
        <w:ind w:left="1040" w:hanging="512"/>
        <w:spacing w:after="0" w:line="308" w:lineRule="auto"/>
        <w:tabs>
          <w:tab w:leader="none" w:pos="1074" w:val="left"/>
        </w:tabs>
        <w:numPr>
          <w:ilvl w:val="1"/>
          <w:numId w:val="277"/>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46" w:lineRule="exact"/>
        <w:rPr>
          <w:rFonts w:ascii="Arial" w:cs="Arial" w:eastAsia="Arial" w:hAnsi="Arial"/>
          <w:sz w:val="17"/>
          <w:szCs w:val="17"/>
          <w:color w:val="auto"/>
        </w:rPr>
      </w:pPr>
    </w:p>
    <w:p>
      <w:pPr>
        <w:ind w:left="520" w:right="180" w:hanging="511"/>
        <w:spacing w:after="0" w:line="308" w:lineRule="auto"/>
        <w:tabs>
          <w:tab w:leader="none" w:pos="522"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46" w:lineRule="exact"/>
        <w:rPr>
          <w:rFonts w:ascii="Arial" w:cs="Arial" w:eastAsia="Arial" w:hAnsi="Arial"/>
          <w:sz w:val="17"/>
          <w:szCs w:val="17"/>
          <w:color w:val="auto"/>
        </w:rPr>
      </w:pPr>
    </w:p>
    <w:p>
      <w:pPr>
        <w:ind w:left="520" w:right="260" w:hanging="511"/>
        <w:spacing w:after="0" w:line="277" w:lineRule="auto"/>
        <w:tabs>
          <w:tab w:leader="none" w:pos="5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70" w:lineRule="exact"/>
        <w:rPr>
          <w:rFonts w:ascii="Arial" w:cs="Arial" w:eastAsia="Arial" w:hAnsi="Arial"/>
          <w:sz w:val="18"/>
          <w:szCs w:val="18"/>
          <w:color w:val="auto"/>
        </w:rPr>
      </w:pPr>
    </w:p>
    <w:p>
      <w:pPr>
        <w:ind w:left="1040" w:hanging="512"/>
        <w:spacing w:after="0"/>
        <w:tabs>
          <w:tab w:leader="none" w:pos="10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25" w:lineRule="exact"/>
        <w:rPr>
          <w:rFonts w:ascii="Arial" w:cs="Arial" w:eastAsia="Arial" w:hAnsi="Arial"/>
          <w:sz w:val="18"/>
          <w:szCs w:val="18"/>
          <w:color w:val="auto"/>
        </w:rPr>
      </w:pPr>
    </w:p>
    <w:p>
      <w:pPr>
        <w:ind w:left="1060" w:hanging="532"/>
        <w:spacing w:after="0"/>
        <w:tabs>
          <w:tab w:leader="none" w:pos="10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25" w:lineRule="exact"/>
        <w:rPr>
          <w:rFonts w:ascii="Arial" w:cs="Arial" w:eastAsia="Arial" w:hAnsi="Arial"/>
          <w:sz w:val="18"/>
          <w:szCs w:val="18"/>
          <w:color w:val="auto"/>
        </w:rPr>
      </w:pPr>
    </w:p>
    <w:p>
      <w:pPr>
        <w:ind w:left="1060" w:hanging="532"/>
        <w:spacing w:after="0"/>
        <w:tabs>
          <w:tab w:leader="none" w:pos="10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25" w:lineRule="exact"/>
        <w:rPr>
          <w:rFonts w:ascii="Arial" w:cs="Arial" w:eastAsia="Arial" w:hAnsi="Arial"/>
          <w:sz w:val="18"/>
          <w:szCs w:val="18"/>
          <w:color w:val="auto"/>
        </w:rPr>
      </w:pPr>
    </w:p>
    <w:p>
      <w:pPr>
        <w:ind w:left="520" w:right="40" w:hanging="511"/>
        <w:spacing w:after="0" w:line="301" w:lineRule="auto"/>
        <w:tabs>
          <w:tab w:leader="none" w:pos="522"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57" w:lineRule="exact"/>
        <w:rPr>
          <w:rFonts w:ascii="Arial" w:cs="Arial" w:eastAsia="Arial" w:hAnsi="Arial"/>
          <w:sz w:val="16"/>
          <w:szCs w:val="16"/>
          <w:color w:val="auto"/>
        </w:rPr>
      </w:pPr>
    </w:p>
    <w:p>
      <w:pPr>
        <w:ind w:left="520" w:right="560" w:hanging="511"/>
        <w:spacing w:after="0" w:line="277" w:lineRule="auto"/>
        <w:tabs>
          <w:tab w:leader="none" w:pos="5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the Borrower is a US Tax Obligor, or the Agent reasonably believes that its obligations under FATCA or any other applicable law or regulation require it, each Lender shall, within ten Business Days of:</w:t>
      </w:r>
    </w:p>
    <w:p>
      <w:pPr>
        <w:spacing w:after="0" w:line="170" w:lineRule="exact"/>
        <w:rPr>
          <w:rFonts w:ascii="Arial" w:cs="Arial" w:eastAsia="Arial" w:hAnsi="Arial"/>
          <w:sz w:val="18"/>
          <w:szCs w:val="18"/>
          <w:color w:val="auto"/>
        </w:rPr>
      </w:pPr>
    </w:p>
    <w:p>
      <w:pPr>
        <w:ind w:left="1040" w:hanging="512"/>
        <w:spacing w:after="0"/>
        <w:tabs>
          <w:tab w:leader="none" w:pos="10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an Original Lender, the date of this Agreement;</w:t>
      </w:r>
    </w:p>
    <w:p>
      <w:pPr>
        <w:spacing w:after="0" w:line="225" w:lineRule="exact"/>
        <w:rPr>
          <w:rFonts w:ascii="Arial" w:cs="Arial" w:eastAsia="Arial" w:hAnsi="Arial"/>
          <w:sz w:val="18"/>
          <w:szCs w:val="18"/>
          <w:color w:val="auto"/>
        </w:rPr>
      </w:pPr>
    </w:p>
    <w:p>
      <w:pPr>
        <w:ind w:left="1060" w:hanging="532"/>
        <w:spacing w:after="0"/>
        <w:tabs>
          <w:tab w:leader="none" w:pos="106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where the Borrower is a US Tax Obligor on a Transfer Date and the relevant Lender is a New Lender, the relevant Transfer Date; or</w:t>
      </w:r>
    </w:p>
    <w:p>
      <w:pPr>
        <w:spacing w:after="0" w:line="248" w:lineRule="exact"/>
        <w:rPr>
          <w:rFonts w:ascii="Arial" w:cs="Arial" w:eastAsia="Arial" w:hAnsi="Arial"/>
          <w:sz w:val="16"/>
          <w:szCs w:val="16"/>
          <w:color w:val="auto"/>
        </w:rPr>
      </w:pPr>
    </w:p>
    <w:p>
      <w:pPr>
        <w:ind w:left="1060" w:hanging="532"/>
        <w:spacing w:after="0"/>
        <w:tabs>
          <w:tab w:leader="none" w:pos="10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date a new US Tax Obligor accedes as the Borrower; or</w:t>
      </w:r>
    </w:p>
    <w:p>
      <w:pPr>
        <w:spacing w:after="0" w:line="225" w:lineRule="exact"/>
        <w:rPr>
          <w:rFonts w:ascii="Arial" w:cs="Arial" w:eastAsia="Arial" w:hAnsi="Arial"/>
          <w:sz w:val="18"/>
          <w:szCs w:val="18"/>
          <w:color w:val="auto"/>
        </w:rPr>
      </w:pPr>
    </w:p>
    <w:p>
      <w:pPr>
        <w:ind w:left="1040" w:hanging="512"/>
        <w:spacing w:after="0"/>
        <w:tabs>
          <w:tab w:leader="none" w:pos="10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supply to the Agent:</w:t>
      </w:r>
    </w:p>
    <w:p>
      <w:pPr>
        <w:spacing w:after="0" w:line="225" w:lineRule="exact"/>
        <w:rPr>
          <w:sz w:val="20"/>
          <w:szCs w:val="20"/>
          <w:color w:val="auto"/>
        </w:rPr>
      </w:pPr>
    </w:p>
    <w:p>
      <w:pPr>
        <w:ind w:left="1560" w:hanging="526"/>
        <w:spacing w:after="0"/>
        <w:tabs>
          <w:tab w:leader="none" w:pos="15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225" w:lineRule="exact"/>
        <w:rPr>
          <w:rFonts w:ascii="Arial" w:cs="Arial" w:eastAsia="Arial" w:hAnsi="Arial"/>
          <w:sz w:val="18"/>
          <w:szCs w:val="18"/>
          <w:color w:val="auto"/>
        </w:rPr>
      </w:pPr>
    </w:p>
    <w:p>
      <w:pPr>
        <w:ind w:left="1540" w:right="20" w:hanging="506"/>
        <w:spacing w:after="0" w:line="277" w:lineRule="auto"/>
        <w:tabs>
          <w:tab w:leader="none" w:pos="154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70" w:lineRule="exact"/>
        <w:rPr>
          <w:rFonts w:ascii="Arial" w:cs="Arial" w:eastAsia="Arial" w:hAnsi="Arial"/>
          <w:sz w:val="18"/>
          <w:szCs w:val="18"/>
          <w:color w:val="auto"/>
        </w:rPr>
      </w:pPr>
    </w:p>
    <w:p>
      <w:pPr>
        <w:ind w:left="520" w:right="40" w:hanging="511"/>
        <w:spacing w:after="0" w:line="277" w:lineRule="auto"/>
        <w:tabs>
          <w:tab w:leader="none" w:pos="5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w:t>
      </w:r>
    </w:p>
    <w:p>
      <w:pPr>
        <w:spacing w:after="0" w:line="170" w:lineRule="exact"/>
        <w:rPr>
          <w:rFonts w:ascii="Arial" w:cs="Arial" w:eastAsia="Arial" w:hAnsi="Arial"/>
          <w:sz w:val="18"/>
          <w:szCs w:val="18"/>
          <w:color w:val="auto"/>
        </w:rPr>
      </w:pPr>
    </w:p>
    <w:p>
      <w:pPr>
        <w:ind w:left="520" w:right="480" w:hanging="511"/>
        <w:spacing w:after="0" w:line="277" w:lineRule="auto"/>
        <w:tabs>
          <w:tab w:leader="none" w:pos="53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81280</wp:posOffset>
            </wp:positionV>
            <wp:extent cx="71532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60"/>
          </w:cols>
          <w:pgMar w:left="720" w:top="341" w:right="419" w:bottom="1440" w:gutter="0" w:footer="0" w:header="0"/>
        </w:sectPr>
      </w:pPr>
    </w:p>
    <w:bookmarkStart w:id="292" w:name="page293"/>
    <w:bookmarkEnd w:id="292"/>
    <w:p>
      <w:pPr>
        <w:ind w:left="920" w:right="40"/>
        <w:spacing w:after="0" w:line="259" w:lineRule="auto"/>
        <w:rPr>
          <w:sz w:val="20"/>
          <w:szCs w:val="20"/>
          <w:color w:val="auto"/>
        </w:rPr>
      </w:pPr>
      <w:r>
        <w:rPr>
          <w:rFonts w:ascii="Arial" w:cs="Arial" w:eastAsia="Arial" w:hAnsi="Arial"/>
          <w:sz w:val="18"/>
          <w:szCs w:val="18"/>
          <w:color w:val="auto"/>
        </w:rPr>
        <w:t>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87" w:lineRule="exact"/>
        <w:rPr>
          <w:sz w:val="20"/>
          <w:szCs w:val="20"/>
          <w:color w:val="auto"/>
        </w:rPr>
      </w:pPr>
    </w:p>
    <w:p>
      <w:pPr>
        <w:ind w:left="920" w:right="560" w:hanging="511"/>
        <w:spacing w:after="0" w:line="263" w:lineRule="auto"/>
        <w:tabs>
          <w:tab w:leader="none" w:pos="92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 FATCA Deduction</w:t>
      </w:r>
    </w:p>
    <w:p>
      <w:pPr>
        <w:spacing w:after="0" w:line="229" w:lineRule="exact"/>
        <w:rPr>
          <w:sz w:val="20"/>
          <w:szCs w:val="20"/>
          <w:color w:val="auto"/>
        </w:rPr>
      </w:pPr>
    </w:p>
    <w:p>
      <w:pPr>
        <w:ind w:left="920" w:right="380" w:hanging="511"/>
        <w:spacing w:after="0" w:line="263" w:lineRule="auto"/>
        <w:tabs>
          <w:tab w:leader="none" w:pos="91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3" w:lineRule="exact"/>
        <w:rPr>
          <w:rFonts w:ascii="Arial" w:cs="Arial" w:eastAsia="Arial" w:hAnsi="Arial"/>
          <w:sz w:val="18"/>
          <w:szCs w:val="18"/>
          <w:color w:val="auto"/>
        </w:rPr>
      </w:pPr>
    </w:p>
    <w:p>
      <w:pPr>
        <w:jc w:val="both"/>
        <w:ind w:left="920" w:right="120" w:hanging="511"/>
        <w:spacing w:after="0" w:line="263" w:lineRule="auto"/>
        <w:tabs>
          <w:tab w:leader="none" w:pos="92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12.7 Stamp taxes</w:t>
      </w:r>
    </w:p>
    <w:p>
      <w:pPr>
        <w:spacing w:after="0" w:line="229" w:lineRule="exact"/>
        <w:rPr>
          <w:sz w:val="20"/>
          <w:szCs w:val="20"/>
          <w:color w:val="auto"/>
        </w:rPr>
      </w:pPr>
    </w:p>
    <w:p>
      <w:pPr>
        <w:ind w:left="400" w:right="420"/>
        <w:spacing w:after="0" w:line="291" w:lineRule="auto"/>
        <w:rPr>
          <w:sz w:val="20"/>
          <w:szCs w:val="20"/>
          <w:color w:val="auto"/>
        </w:rPr>
      </w:pPr>
      <w:r>
        <w:rPr>
          <w:rFonts w:ascii="Arial" w:cs="Arial" w:eastAsia="Arial" w:hAnsi="Arial"/>
          <w:sz w:val="16"/>
          <w:szCs w:val="16"/>
          <w:color w:val="auto"/>
        </w:rPr>
        <w:t>The Borrower shall pay and, within three Business Days of demand, indemnify each Finance Party against any cost, loss or liability that Finance Party incurs in relation to all stamp duty, registration and other similar Taxes payable in respect of any Finance Document provided that this</w:t>
      </w:r>
    </w:p>
    <w:p>
      <w:pPr>
        <w:jc w:val="both"/>
        <w:ind w:left="400" w:right="20"/>
        <w:spacing w:after="0" w:line="255" w:lineRule="auto"/>
        <w:rPr>
          <w:sz w:val="20"/>
          <w:szCs w:val="20"/>
          <w:color w:val="auto"/>
        </w:rPr>
      </w:pPr>
      <w:r>
        <w:rPr>
          <w:rFonts w:ascii="Arial" w:cs="Arial" w:eastAsia="Arial" w:hAnsi="Arial"/>
          <w:sz w:val="18"/>
          <w:szCs w:val="18"/>
          <w:color w:val="auto"/>
        </w:rPr>
        <w:t>clause 12.7 shall not apply in respect of any such stamp duty or Tax which is payable in respect of an assignment or transfer by a Finance Party of any of its rights and/or obligations under any Finance Document, except if such assignment or transfer is required by the terms of the Finance Documents, in respect of which this clause 12.7 shall apply in any event.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12.8 Value added tax</w:t>
      </w:r>
    </w:p>
    <w:p>
      <w:pPr>
        <w:spacing w:after="0" w:line="229" w:lineRule="exact"/>
        <w:rPr>
          <w:sz w:val="20"/>
          <w:szCs w:val="20"/>
          <w:color w:val="auto"/>
        </w:rPr>
      </w:pPr>
    </w:p>
    <w:p>
      <w:pPr>
        <w:ind w:left="920" w:hanging="511"/>
        <w:spacing w:after="0" w:line="255" w:lineRule="auto"/>
        <w:tabs>
          <w:tab w:leader="none" w:pos="91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88" w:lineRule="exact"/>
        <w:rPr>
          <w:rFonts w:ascii="Arial" w:cs="Arial" w:eastAsia="Arial" w:hAnsi="Arial"/>
          <w:sz w:val="18"/>
          <w:szCs w:val="18"/>
          <w:color w:val="auto"/>
        </w:rPr>
      </w:pPr>
    </w:p>
    <w:p>
      <w:pPr>
        <w:ind w:left="920" w:right="40" w:hanging="511"/>
        <w:spacing w:after="0" w:line="261" w:lineRule="auto"/>
        <w:tabs>
          <w:tab w:leader="none" w:pos="92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under a Finance Document, and any party to a Finance Document other than the Recipient (the </w:t>
      </w:r>
      <w:r>
        <w:rPr>
          <w:rFonts w:ascii="Arial" w:cs="Arial" w:eastAsia="Arial" w:hAnsi="Arial"/>
          <w:sz w:val="18"/>
          <w:szCs w:val="18"/>
          <w:b w:val="1"/>
          <w:bCs w:val="1"/>
          <w:color w:val="auto"/>
        </w:rPr>
        <w:t>Subject Party</w:t>
      </w:r>
      <w:r>
        <w:rPr>
          <w:rFonts w:ascii="Arial" w:cs="Arial" w:eastAsia="Arial" w:hAnsi="Arial"/>
          <w:sz w:val="18"/>
          <w:szCs w:val="18"/>
          <w:color w:val="auto"/>
        </w:rPr>
        <w:t>) is required by the terms of any Finance Document to pay an amount equal to the consideration for such supply to the Supplier (rather than being required to reimburse or indemnify the Recipient in respect of that consideration):</w:t>
      </w:r>
    </w:p>
    <w:p>
      <w:pPr>
        <w:spacing w:after="0" w:line="183" w:lineRule="exact"/>
        <w:rPr>
          <w:rFonts w:ascii="Arial" w:cs="Arial" w:eastAsia="Arial" w:hAnsi="Arial"/>
          <w:sz w:val="18"/>
          <w:szCs w:val="18"/>
          <w:color w:val="auto"/>
        </w:rPr>
      </w:pPr>
    </w:p>
    <w:p>
      <w:pPr>
        <w:jc w:val="both"/>
        <w:ind w:left="1440" w:right="240" w:hanging="512"/>
        <w:spacing w:after="0" w:line="301" w:lineRule="auto"/>
        <w:tabs>
          <w:tab w:leader="none" w:pos="145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3" w:name="page294"/>
    <w:bookmarkEnd w:id="293"/>
    <w:p>
      <w:pPr>
        <w:ind w:left="1440" w:hanging="512"/>
        <w:spacing w:after="0" w:line="259" w:lineRule="auto"/>
        <w:tabs>
          <w:tab w:leader="none" w:pos="146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6" w:lineRule="exact"/>
        <w:rPr>
          <w:rFonts w:ascii="Arial" w:cs="Arial" w:eastAsia="Arial" w:hAnsi="Arial"/>
          <w:sz w:val="18"/>
          <w:szCs w:val="18"/>
          <w:color w:val="auto"/>
        </w:rPr>
      </w:pPr>
    </w:p>
    <w:p>
      <w:pPr>
        <w:ind w:left="920" w:right="140" w:hanging="511"/>
        <w:spacing w:after="0" w:line="259" w:lineRule="auto"/>
        <w:tabs>
          <w:tab w:leader="none" w:pos="92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86" w:lineRule="exact"/>
        <w:rPr>
          <w:rFonts w:ascii="Arial" w:cs="Arial" w:eastAsia="Arial" w:hAnsi="Arial"/>
          <w:sz w:val="18"/>
          <w:szCs w:val="18"/>
          <w:color w:val="auto"/>
        </w:rPr>
      </w:pPr>
    </w:p>
    <w:p>
      <w:pPr>
        <w:ind w:left="920" w:right="120" w:hanging="511"/>
        <w:spacing w:after="0" w:line="263" w:lineRule="auto"/>
        <w:tabs>
          <w:tab w:leader="none" w:pos="92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3" w:lineRule="exact"/>
        <w:rPr>
          <w:rFonts w:ascii="Arial" w:cs="Arial" w:eastAsia="Arial" w:hAnsi="Arial"/>
          <w:sz w:val="18"/>
          <w:szCs w:val="18"/>
          <w:color w:val="auto"/>
        </w:rPr>
      </w:pPr>
    </w:p>
    <w:p>
      <w:pPr>
        <w:ind w:left="920" w:right="40" w:hanging="511"/>
        <w:spacing w:after="0" w:line="286" w:lineRule="auto"/>
        <w:tabs>
          <w:tab w:leader="none" w:pos="92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12.9 Tax Credit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25" w:lineRule="exact"/>
        <w:rPr>
          <w:sz w:val="20"/>
          <w:szCs w:val="20"/>
          <w:color w:val="auto"/>
        </w:rPr>
      </w:pPr>
    </w:p>
    <w:p>
      <w:pPr>
        <w:ind w:left="920" w:right="480" w:hanging="511"/>
        <w:spacing w:after="0" w:line="277" w:lineRule="auto"/>
        <w:tabs>
          <w:tab w:leader="none" w:pos="91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70" w:lineRule="exact"/>
        <w:rPr>
          <w:rFonts w:ascii="Arial" w:cs="Arial" w:eastAsia="Arial" w:hAnsi="Arial"/>
          <w:sz w:val="18"/>
          <w:szCs w:val="18"/>
          <w:color w:val="auto"/>
        </w:rPr>
      </w:pPr>
    </w:p>
    <w:p>
      <w:pPr>
        <w:ind w:left="920" w:hanging="511"/>
        <w:spacing w:after="0"/>
        <w:tabs>
          <w:tab w:leader="none" w:pos="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225" w:lineRule="exact"/>
        <w:rPr>
          <w:sz w:val="20"/>
          <w:szCs w:val="20"/>
          <w:color w:val="auto"/>
        </w:rPr>
      </w:pPr>
    </w:p>
    <w:p>
      <w:pPr>
        <w:ind w:left="400" w:right="38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6" w:lineRule="exact"/>
        <w:rPr>
          <w:sz w:val="20"/>
          <w:szCs w:val="20"/>
          <w:color w:val="auto"/>
        </w:rPr>
      </w:pPr>
    </w:p>
    <w:p>
      <w:pPr>
        <w:jc w:val="both"/>
        <w:ind w:right="9580" w:firstLine="8"/>
        <w:spacing w:after="0" w:line="603" w:lineRule="auto"/>
        <w:tabs>
          <w:tab w:leader="none" w:pos="396" w:val="left"/>
        </w:tabs>
        <w:numPr>
          <w:ilvl w:val="0"/>
          <w:numId w:val="287"/>
        </w:numPr>
        <w:rPr>
          <w:rFonts w:ascii="Arial" w:cs="Arial" w:eastAsia="Arial" w:hAnsi="Arial"/>
          <w:sz w:val="15"/>
          <w:szCs w:val="15"/>
          <w:b w:val="1"/>
          <w:bCs w:val="1"/>
          <w:color w:val="auto"/>
        </w:rPr>
      </w:pPr>
      <w:r>
        <w:rPr>
          <w:rFonts w:ascii="Arial" w:cs="Arial" w:eastAsia="Arial" w:hAnsi="Arial"/>
          <w:sz w:val="15"/>
          <w:szCs w:val="15"/>
          <w:b w:val="1"/>
          <w:bCs w:val="1"/>
          <w:color w:val="auto"/>
        </w:rPr>
        <w:t>Increased Costs 13.1 Increased Costs</w:t>
      </w:r>
    </w:p>
    <w:p>
      <w:pPr>
        <w:spacing w:after="0" w:line="1" w:lineRule="exact"/>
        <w:rPr>
          <w:rFonts w:ascii="Arial" w:cs="Arial" w:eastAsia="Arial" w:hAnsi="Arial"/>
          <w:sz w:val="15"/>
          <w:szCs w:val="15"/>
          <w:b w:val="1"/>
          <w:bCs w:val="1"/>
          <w:color w:val="auto"/>
        </w:rPr>
      </w:pPr>
    </w:p>
    <w:p>
      <w:pPr>
        <w:ind w:left="920" w:right="300" w:hanging="511"/>
        <w:spacing w:after="0" w:line="277" w:lineRule="auto"/>
        <w:tabs>
          <w:tab w:leader="none" w:pos="91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 shall, within three (3) Business Days of a demand by the Agent, pay for the account of a Finance Party the amount of any Increased Cost incurred by that Finance Party or any of its Affiliates which:</w:t>
      </w:r>
    </w:p>
    <w:p>
      <w:pPr>
        <w:spacing w:after="0" w:line="170" w:lineRule="exact"/>
        <w:rPr>
          <w:rFonts w:ascii="Arial" w:cs="Arial" w:eastAsia="Arial" w:hAnsi="Arial"/>
          <w:sz w:val="18"/>
          <w:szCs w:val="18"/>
          <w:color w:val="auto"/>
        </w:rPr>
      </w:pPr>
    </w:p>
    <w:p>
      <w:pPr>
        <w:ind w:left="1440" w:right="520" w:hanging="512"/>
        <w:spacing w:after="0" w:line="277" w:lineRule="auto"/>
        <w:tabs>
          <w:tab w:leader="none" w:pos="1455"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70" w:lineRule="exact"/>
        <w:rPr>
          <w:rFonts w:ascii="Arial" w:cs="Arial" w:eastAsia="Arial" w:hAnsi="Arial"/>
          <w:sz w:val="18"/>
          <w:szCs w:val="18"/>
          <w:color w:val="auto"/>
        </w:rPr>
      </w:pPr>
    </w:p>
    <w:p>
      <w:pPr>
        <w:ind w:left="1460" w:hanging="532"/>
        <w:spacing w:after="0"/>
        <w:tabs>
          <w:tab w:leader="none" w:pos="146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 and/or</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is a Reformed Basel III Increased Cost and is generally ascribed to borrowers as a matter of market practice.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4" w:name="page295"/>
    <w:bookmarkEnd w:id="294"/>
    <w:p>
      <w:pPr>
        <w:ind w:left="920" w:hanging="511"/>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1440" w:hanging="512"/>
        <w:spacing w:after="0"/>
        <w:tabs>
          <w:tab w:leader="none" w:pos="14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25" w:lineRule="exact"/>
        <w:rPr>
          <w:sz w:val="20"/>
          <w:szCs w:val="20"/>
          <w:color w:val="auto"/>
        </w:rPr>
      </w:pPr>
    </w:p>
    <w:p>
      <w:pPr>
        <w:ind w:left="400" w:right="120"/>
        <w:spacing w:after="0" w:line="277"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Increased Cost claims</w:t>
      </w:r>
    </w:p>
    <w:p>
      <w:pPr>
        <w:spacing w:after="0" w:line="229" w:lineRule="exact"/>
        <w:rPr>
          <w:sz w:val="20"/>
          <w:szCs w:val="20"/>
          <w:color w:val="auto"/>
        </w:rPr>
      </w:pPr>
    </w:p>
    <w:p>
      <w:pPr>
        <w:ind w:left="920" w:right="460" w:hanging="511"/>
        <w:spacing w:after="0" w:line="277" w:lineRule="auto"/>
        <w:tabs>
          <w:tab w:leader="none" w:pos="91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70" w:lineRule="exact"/>
        <w:rPr>
          <w:rFonts w:ascii="Arial" w:cs="Arial" w:eastAsia="Arial" w:hAnsi="Arial"/>
          <w:sz w:val="18"/>
          <w:szCs w:val="18"/>
          <w:color w:val="auto"/>
        </w:rPr>
      </w:pPr>
    </w:p>
    <w:p>
      <w:pPr>
        <w:ind w:left="920" w:right="660" w:hanging="511"/>
        <w:spacing w:after="0" w:line="277" w:lineRule="auto"/>
        <w:tabs>
          <w:tab w:leader="none" w:pos="92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 Exceptions</w:t>
      </w:r>
    </w:p>
    <w:p>
      <w:pPr>
        <w:spacing w:after="0" w:line="229" w:lineRule="exact"/>
        <w:rPr>
          <w:sz w:val="20"/>
          <w:szCs w:val="20"/>
          <w:color w:val="auto"/>
        </w:rPr>
      </w:pPr>
    </w:p>
    <w:p>
      <w:pPr>
        <w:ind w:left="920" w:hanging="511"/>
        <w:spacing w:after="0"/>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25" w:lineRule="exact"/>
        <w:rPr>
          <w:rFonts w:ascii="Arial" w:cs="Arial" w:eastAsia="Arial" w:hAnsi="Arial"/>
          <w:sz w:val="18"/>
          <w:szCs w:val="18"/>
          <w:color w:val="auto"/>
        </w:rPr>
      </w:pPr>
    </w:p>
    <w:p>
      <w:pPr>
        <w:ind w:left="1440" w:right="20" w:hanging="512"/>
        <w:spacing w:after="0" w:line="277" w:lineRule="auto"/>
        <w:tabs>
          <w:tab w:leader="none" w:pos="146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70" w:lineRule="exact"/>
        <w:rPr>
          <w:rFonts w:ascii="Arial" w:cs="Arial" w:eastAsia="Arial" w:hAnsi="Arial"/>
          <w:sz w:val="18"/>
          <w:szCs w:val="18"/>
          <w:color w:val="auto"/>
        </w:rPr>
      </w:pPr>
    </w:p>
    <w:p>
      <w:pPr>
        <w:ind w:left="1460" w:hanging="532"/>
        <w:spacing w:after="0"/>
        <w:tabs>
          <w:tab w:leader="none" w:pos="14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25" w:lineRule="exact"/>
        <w:rPr>
          <w:rFonts w:ascii="Arial" w:cs="Arial" w:eastAsia="Arial" w:hAnsi="Arial"/>
          <w:sz w:val="18"/>
          <w:szCs w:val="18"/>
          <w:color w:val="auto"/>
        </w:rPr>
      </w:pPr>
    </w:p>
    <w:p>
      <w:pPr>
        <w:ind w:left="1440" w:hanging="512"/>
        <w:spacing w:after="0"/>
        <w:tabs>
          <w:tab w:leader="none" w:pos="14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21" w:lineRule="exact"/>
        <w:rPr>
          <w:rFonts w:ascii="Arial" w:cs="Arial" w:eastAsia="Arial" w:hAnsi="Arial"/>
          <w:sz w:val="18"/>
          <w:szCs w:val="18"/>
          <w:color w:val="auto"/>
        </w:rPr>
      </w:pPr>
    </w:p>
    <w:p>
      <w:pPr>
        <w:ind w:left="920" w:hanging="511"/>
        <w:spacing w:after="0"/>
        <w:tabs>
          <w:tab w:leader="none" w:pos="9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9280" w:firstLine="8"/>
        <w:spacing w:after="0" w:line="563" w:lineRule="auto"/>
        <w:tabs>
          <w:tab w:leader="none" w:pos="396"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Other indemnities 14.1 Currency indemnity</w:t>
      </w:r>
    </w:p>
    <w:p>
      <w:pPr>
        <w:ind w:left="920" w:right="20" w:hanging="511"/>
        <w:spacing w:after="0" w:line="266" w:lineRule="auto"/>
        <w:tabs>
          <w:tab w:leader="none" w:pos="91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79" w:lineRule="exact"/>
        <w:rPr>
          <w:rFonts w:ascii="Arial" w:cs="Arial" w:eastAsia="Arial" w:hAnsi="Arial"/>
          <w:sz w:val="18"/>
          <w:szCs w:val="18"/>
          <w:color w:val="auto"/>
        </w:rPr>
      </w:pPr>
    </w:p>
    <w:p>
      <w:pPr>
        <w:ind w:left="1440" w:hanging="512"/>
        <w:spacing w:after="0"/>
        <w:tabs>
          <w:tab w:leader="none" w:pos="14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25" w:lineRule="exact"/>
        <w:rPr>
          <w:rFonts w:ascii="Arial" w:cs="Arial" w:eastAsia="Arial" w:hAnsi="Arial"/>
          <w:sz w:val="18"/>
          <w:szCs w:val="18"/>
          <w:color w:val="auto"/>
        </w:rPr>
      </w:pPr>
    </w:p>
    <w:p>
      <w:pPr>
        <w:ind w:left="1460" w:hanging="532"/>
        <w:spacing w:after="0"/>
        <w:tabs>
          <w:tab w:leader="none" w:pos="146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25" w:lineRule="exact"/>
        <w:rPr>
          <w:sz w:val="20"/>
          <w:szCs w:val="20"/>
          <w:color w:val="auto"/>
        </w:rPr>
      </w:pPr>
    </w:p>
    <w:p>
      <w:pPr>
        <w:ind w:left="920" w:right="160"/>
        <w:spacing w:after="0" w:line="263"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Currency into the Second Currency and (ii) the rate or rates of exchange available to that person at the time of its receipt of that Sum.</w:t>
      </w:r>
    </w:p>
    <w:p>
      <w:pPr>
        <w:spacing w:after="0" w:line="237" w:lineRule="exact"/>
        <w:rPr>
          <w:sz w:val="20"/>
          <w:szCs w:val="20"/>
          <w:color w:val="auto"/>
        </w:rPr>
      </w:pPr>
    </w:p>
    <w:p>
      <w:pPr>
        <w:ind w:left="1020" w:hanging="512"/>
        <w:spacing w:after="0" w:line="277" w:lineRule="auto"/>
        <w:tabs>
          <w:tab w:leader="none" w:pos="103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Other indemnities</w:t>
      </w:r>
    </w:p>
    <w:p>
      <w:pPr>
        <w:spacing w:after="0" w:line="229" w:lineRule="exact"/>
        <w:rPr>
          <w:sz w:val="20"/>
          <w:szCs w:val="20"/>
          <w:color w:val="auto"/>
        </w:rPr>
      </w:pPr>
    </w:p>
    <w:p>
      <w:pPr>
        <w:ind w:left="1020" w:right="360" w:hanging="512"/>
        <w:spacing w:after="0" w:line="308" w:lineRule="auto"/>
        <w:tabs>
          <w:tab w:leader="none" w:pos="102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Borrower shall (or shall procure that another Obligor will), within three (3) Business Days of demand by a Finance Party, indemnify each Finance Party against any and all Losses incurred by that Finance Party (as the case may be) as a result of:</w:t>
      </w:r>
    </w:p>
    <w:p>
      <w:pPr>
        <w:spacing w:after="0" w:line="146" w:lineRule="exact"/>
        <w:rPr>
          <w:rFonts w:ascii="Arial" w:cs="Arial" w:eastAsia="Arial" w:hAnsi="Arial"/>
          <w:sz w:val="17"/>
          <w:szCs w:val="17"/>
          <w:color w:val="auto"/>
        </w:rPr>
      </w:pPr>
    </w:p>
    <w:p>
      <w:pPr>
        <w:ind w:left="1560" w:hanging="531"/>
        <w:spacing w:after="0"/>
        <w:tabs>
          <w:tab w:leader="none" w:pos="15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25" w:lineRule="exact"/>
        <w:rPr>
          <w:rFonts w:ascii="Arial" w:cs="Arial" w:eastAsia="Arial" w:hAnsi="Arial"/>
          <w:sz w:val="18"/>
          <w:szCs w:val="18"/>
          <w:color w:val="auto"/>
        </w:rPr>
      </w:pPr>
    </w:p>
    <w:p>
      <w:pPr>
        <w:ind w:left="1540" w:right="280" w:hanging="511"/>
        <w:spacing w:after="0" w:line="277" w:lineRule="auto"/>
        <w:tabs>
          <w:tab w:leader="none" w:pos="157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34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right="40" w:hanging="511"/>
        <w:spacing w:after="0" w:line="263" w:lineRule="auto"/>
        <w:tabs>
          <w:tab w:leader="none" w:pos="158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 in the Utilisation Request but not made by reason of the operation of any one or more of the provisions of this Agreement (other than by reason of default or negligence by that Finance Party alone); or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Loan (or part thereof) not being prepaid in accordance with a notice of prepayment given by the Borrower.</w:t>
      </w:r>
    </w:p>
    <w:p>
      <w:pPr>
        <w:sectPr>
          <w:pgSz w:w="11900" w:h="16838" w:orient="portrait"/>
          <w:cols w:equalWidth="0" w:num="1">
            <w:col w:w="11240"/>
          </w:cols>
          <w:pgMar w:left="320" w:top="337" w:right="339" w:bottom="133" w:gutter="0" w:footer="0" w:header="0"/>
        </w:sectPr>
      </w:pPr>
    </w:p>
    <w:bookmarkStart w:id="295" w:name="page296"/>
    <w:bookmarkEnd w:id="295"/>
    <w:p>
      <w:pPr>
        <w:ind w:left="1020" w:hanging="512"/>
        <w:spacing w:after="0" w:line="286" w:lineRule="auto"/>
        <w:tabs>
          <w:tab w:leader="none" w:pos="103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Borrower shall (or shall procure that another Obligor will), within three (3)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Indemnity to the Agent and Security Agent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promptly indemnify the Agent and the Security Agent against:</w:t>
      </w:r>
    </w:p>
    <w:p>
      <w:pPr>
        <w:spacing w:after="0" w:line="225" w:lineRule="exact"/>
        <w:rPr>
          <w:sz w:val="20"/>
          <w:szCs w:val="20"/>
          <w:color w:val="auto"/>
        </w:rPr>
      </w:pPr>
    </w:p>
    <w:p>
      <w:pPr>
        <w:ind w:left="1040" w:hanging="532"/>
        <w:spacing w:after="0"/>
        <w:tabs>
          <w:tab w:leader="none" w:pos="10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225" w:lineRule="exact"/>
        <w:rPr>
          <w:sz w:val="20"/>
          <w:szCs w:val="20"/>
          <w:color w:val="auto"/>
        </w:rPr>
      </w:pPr>
    </w:p>
    <w:p>
      <w:pPr>
        <w:ind w:left="1540" w:right="240" w:hanging="511"/>
        <w:spacing w:after="0" w:line="277" w:lineRule="auto"/>
        <w:tabs>
          <w:tab w:leader="none" w:pos="15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without prejudice to clause 32.7(b)(i) as extended to the Security Agent by clause 32.21 (</w:t>
      </w:r>
      <w:r>
        <w:rPr>
          <w:rFonts w:ascii="Arial" w:cs="Arial" w:eastAsia="Arial" w:hAnsi="Arial"/>
          <w:sz w:val="18"/>
          <w:szCs w:val="18"/>
          <w:i w:val="1"/>
          <w:iCs w:val="1"/>
          <w:color w:val="auto"/>
        </w:rPr>
        <w:t>Application of certain clauses to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investigating any event which it reasonably believes is a Default;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6" w:name="page297"/>
    <w:bookmarkEnd w:id="296"/>
    <w:p>
      <w:pPr>
        <w:ind w:left="1540" w:right="820" w:hanging="511"/>
        <w:spacing w:after="0" w:line="277" w:lineRule="auto"/>
        <w:tabs>
          <w:tab w:leader="none" w:pos="157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70" w:lineRule="exact"/>
        <w:rPr>
          <w:rFonts w:ascii="Arial" w:cs="Arial" w:eastAsia="Arial" w:hAnsi="Arial"/>
          <w:sz w:val="18"/>
          <w:szCs w:val="18"/>
          <w:color w:val="auto"/>
        </w:rPr>
      </w:pPr>
    </w:p>
    <w:p>
      <w:pPr>
        <w:ind w:left="1540" w:right="60" w:hanging="511"/>
        <w:spacing w:after="0" w:line="277" w:lineRule="auto"/>
        <w:tabs>
          <w:tab w:leader="none" w:pos="158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this Agreement; or</w:t>
      </w:r>
    </w:p>
    <w:p>
      <w:pPr>
        <w:spacing w:after="0" w:line="170" w:lineRule="exact"/>
        <w:rPr>
          <w:rFonts w:ascii="Arial" w:cs="Arial" w:eastAsia="Arial" w:hAnsi="Arial"/>
          <w:sz w:val="18"/>
          <w:szCs w:val="18"/>
          <w:color w:val="auto"/>
        </w:rPr>
      </w:pPr>
    </w:p>
    <w:p>
      <w:pPr>
        <w:ind w:left="1540" w:right="40" w:hanging="511"/>
        <w:spacing w:after="0" w:line="263" w:lineRule="auto"/>
        <w:tabs>
          <w:tab w:leader="none" w:pos="155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183" w:lineRule="exact"/>
        <w:rPr>
          <w:rFonts w:ascii="Arial" w:cs="Arial" w:eastAsia="Arial" w:hAnsi="Arial"/>
          <w:sz w:val="18"/>
          <w:szCs w:val="18"/>
          <w:color w:val="auto"/>
        </w:rPr>
      </w:pPr>
    </w:p>
    <w:p>
      <w:pPr>
        <w:ind w:left="1020" w:hanging="512"/>
        <w:spacing w:after="0" w:line="257" w:lineRule="auto"/>
        <w:tabs>
          <w:tab w:leader="none" w:pos="103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35.11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Indemnity concerning security</w:t>
      </w:r>
    </w:p>
    <w:p>
      <w:pPr>
        <w:spacing w:after="0" w:line="229" w:lineRule="exact"/>
        <w:rPr>
          <w:sz w:val="20"/>
          <w:szCs w:val="20"/>
          <w:color w:val="auto"/>
        </w:rPr>
      </w:pPr>
    </w:p>
    <w:p>
      <w:pPr>
        <w:ind w:left="1020" w:right="420" w:hanging="512"/>
        <w:spacing w:after="0" w:line="277" w:lineRule="auto"/>
        <w:tabs>
          <w:tab w:leader="none" w:pos="102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Borrower shall (or shall procure that another Obligor will) promptly indemnify each Indemnified Person against any and all Losses incurred by it in connection with:</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any failure by the Borrower to comply with clause 16 (</w:t>
      </w:r>
      <w:r>
        <w:rPr>
          <w:rFonts w:ascii="Arial" w:cs="Arial" w:eastAsia="Arial" w:hAnsi="Arial"/>
          <w:sz w:val="16"/>
          <w:szCs w:val="16"/>
          <w:i w:val="1"/>
          <w:iCs w:val="1"/>
          <w:color w:val="auto"/>
        </w:rPr>
        <w:t>Costs and expenses</w:t>
      </w:r>
      <w:r>
        <w:rPr>
          <w:rFonts w:ascii="Arial" w:cs="Arial" w:eastAsia="Arial" w:hAnsi="Arial"/>
          <w:sz w:val="16"/>
          <w:szCs w:val="16"/>
          <w:color w:val="auto"/>
        </w:rPr>
        <w:t>) or any similar provision in any other Finance Document;</w:t>
      </w:r>
    </w:p>
    <w:p>
      <w:pPr>
        <w:spacing w:after="0" w:line="248" w:lineRule="exact"/>
        <w:rPr>
          <w:rFonts w:ascii="Arial" w:cs="Arial" w:eastAsia="Arial" w:hAnsi="Arial"/>
          <w:sz w:val="16"/>
          <w:szCs w:val="16"/>
          <w:color w:val="auto"/>
        </w:rPr>
      </w:pPr>
    </w:p>
    <w:p>
      <w:pPr>
        <w:ind w:left="1540" w:right="820" w:hanging="511"/>
        <w:spacing w:after="0" w:line="277" w:lineRule="auto"/>
        <w:tabs>
          <w:tab w:leader="none" w:pos="157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25" w:lineRule="exact"/>
        <w:rPr>
          <w:rFonts w:ascii="Arial" w:cs="Arial" w:eastAsia="Arial" w:hAnsi="Arial"/>
          <w:sz w:val="18"/>
          <w:szCs w:val="18"/>
          <w:color w:val="auto"/>
        </w:rPr>
      </w:pPr>
    </w:p>
    <w:p>
      <w:pPr>
        <w:ind w:left="1540" w:hanging="511"/>
        <w:spacing w:after="0" w:line="263" w:lineRule="auto"/>
        <w:tabs>
          <w:tab w:leader="none" w:pos="155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3" w:lineRule="exact"/>
        <w:rPr>
          <w:rFonts w:ascii="Arial" w:cs="Arial" w:eastAsia="Arial" w:hAnsi="Arial"/>
          <w:sz w:val="18"/>
          <w:szCs w:val="18"/>
          <w:color w:val="auto"/>
        </w:rPr>
      </w:pPr>
    </w:p>
    <w:p>
      <w:pPr>
        <w:ind w:left="1540" w:right="120" w:hanging="511"/>
        <w:spacing w:after="0" w:line="263" w:lineRule="auto"/>
        <w:tabs>
          <w:tab w:leader="none" w:pos="15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 or</w:t>
      </w:r>
    </w:p>
    <w:p>
      <w:pPr>
        <w:spacing w:after="0" w:line="225" w:lineRule="exact"/>
        <w:rPr>
          <w:rFonts w:ascii="Arial" w:cs="Arial" w:eastAsia="Arial" w:hAnsi="Arial"/>
          <w:sz w:val="18"/>
          <w:szCs w:val="18"/>
          <w:color w:val="auto"/>
        </w:rPr>
      </w:pPr>
    </w:p>
    <w:p>
      <w:pPr>
        <w:ind w:left="1540" w:right="60" w:hanging="511"/>
        <w:spacing w:after="0" w:line="277" w:lineRule="auto"/>
        <w:tabs>
          <w:tab w:leader="none" w:pos="156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the Finance Documents.</w:t>
      </w:r>
    </w:p>
    <w:p>
      <w:pPr>
        <w:spacing w:after="0" w:line="170" w:lineRule="exact"/>
        <w:rPr>
          <w:rFonts w:ascii="Arial" w:cs="Arial" w:eastAsia="Arial" w:hAnsi="Arial"/>
          <w:sz w:val="18"/>
          <w:szCs w:val="18"/>
          <w:color w:val="auto"/>
        </w:rPr>
      </w:pPr>
    </w:p>
    <w:p>
      <w:pPr>
        <w:jc w:val="both"/>
        <w:ind w:left="1020" w:right="100" w:hanging="512"/>
        <w:spacing w:after="0" w:line="263" w:lineRule="auto"/>
        <w:tabs>
          <w:tab w:leader="none" w:pos="103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7" w:name="page298"/>
    <w:bookmarkEnd w:id="297"/>
    <w:p>
      <w:pPr>
        <w:spacing w:after="0"/>
        <w:tabs>
          <w:tab w:leader="none" w:pos="4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Continuation of indemnities</w:t>
      </w:r>
    </w:p>
    <w:p>
      <w:pPr>
        <w:spacing w:after="0" w:line="229" w:lineRule="exact"/>
        <w:rPr>
          <w:sz w:val="20"/>
          <w:szCs w:val="20"/>
          <w:color w:val="auto"/>
        </w:rPr>
      </w:pPr>
    </w:p>
    <w:p>
      <w:pPr>
        <w:ind w:left="520" w:right="280"/>
        <w:spacing w:after="0" w:line="286" w:lineRule="auto"/>
        <w:rPr>
          <w:sz w:val="20"/>
          <w:szCs w:val="20"/>
          <w:color w:val="auto"/>
        </w:rPr>
      </w:pPr>
      <w:r>
        <w:rPr>
          <w:rFonts w:ascii="Arial" w:cs="Arial" w:eastAsia="Arial" w:hAnsi="Arial"/>
          <w:sz w:val="17"/>
          <w:szCs w:val="17"/>
          <w:color w:val="auto"/>
        </w:rPr>
        <w:t>The indemnities by the Borrower in favour of the Indemnified Persons contained in this Agreement shall continue in full force and effect notwithstanding any breach by any Finance Party or the Borrower of the terms of this Agreement, the repayment or prepayment of the Loan, the cancellation of the Total Commitments or the repudiation by the Agent or the Borrower of this Agreement.</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Third Parties Act</w:t>
      </w:r>
    </w:p>
    <w:p>
      <w:pPr>
        <w:spacing w:after="0" w:line="229" w:lineRule="exact"/>
        <w:rPr>
          <w:sz w:val="20"/>
          <w:szCs w:val="20"/>
          <w:color w:val="auto"/>
        </w:rPr>
      </w:pPr>
    </w:p>
    <w:p>
      <w:pPr>
        <w:ind w:left="520" w:right="160"/>
        <w:spacing w:after="0" w:line="263"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xml:space="preserve"> and 14.7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 xml:space="preserve">Moneys becoming due by the Borrower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Exclusion of liability</w:t>
      </w:r>
    </w:p>
    <w:p>
      <w:pPr>
        <w:spacing w:after="0" w:line="229" w:lineRule="exact"/>
        <w:rPr>
          <w:sz w:val="20"/>
          <w:szCs w:val="20"/>
          <w:color w:val="auto"/>
        </w:rPr>
      </w:pPr>
    </w:p>
    <w:p>
      <w:pPr>
        <w:jc w:val="both"/>
        <w:ind w:left="520" w:right="220"/>
        <w:spacing w:after="0" w:line="275" w:lineRule="auto"/>
        <w:rPr>
          <w:sz w:val="20"/>
          <w:szCs w:val="20"/>
          <w:color w:val="auto"/>
        </w:rPr>
      </w:pPr>
      <w:r>
        <w:rPr>
          <w:rFonts w:ascii="Arial" w:cs="Arial" w:eastAsia="Arial" w:hAnsi="Arial"/>
          <w:sz w:val="17"/>
          <w:szCs w:val="17"/>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Email indemnity</w:t>
      </w:r>
    </w:p>
    <w:p>
      <w:pPr>
        <w:spacing w:after="0" w:line="229" w:lineRule="exact"/>
        <w:rPr>
          <w:sz w:val="20"/>
          <w:szCs w:val="20"/>
          <w:color w:val="auto"/>
        </w:rPr>
      </w:pPr>
    </w:p>
    <w:p>
      <w:pPr>
        <w:jc w:val="both"/>
        <w:ind w:left="520" w:right="120"/>
        <w:spacing w:after="0" w:line="259" w:lineRule="auto"/>
        <w:rPr>
          <w:sz w:val="20"/>
          <w:szCs w:val="20"/>
          <w:color w:val="auto"/>
        </w:rPr>
      </w:pPr>
      <w:r>
        <w:rPr>
          <w:rFonts w:ascii="Arial" w:cs="Arial" w:eastAsia="Arial" w:hAnsi="Arial"/>
          <w:sz w:val="18"/>
          <w:szCs w:val="18"/>
          <w:color w:val="auto"/>
        </w:rPr>
        <w:t>The Borrower shall indemnify each Finance Party against any and all Losses together with any VAT thereon which any of the Finance Parties may sustain or incur as a consequence of any email communication purporting to originate from the Borrower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29"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83" w:lineRule="exact"/>
        <w:rPr>
          <w:sz w:val="20"/>
          <w:szCs w:val="20"/>
          <w:color w:val="auto"/>
        </w:rPr>
      </w:pPr>
    </w:p>
    <w:p>
      <w:pPr>
        <w:ind w:right="8680" w:firstLine="8"/>
        <w:spacing w:after="0" w:line="503" w:lineRule="auto"/>
        <w:tabs>
          <w:tab w:leader="none" w:pos="49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 15.1 Mitigation</w:t>
      </w:r>
    </w:p>
    <w:p>
      <w:pPr>
        <w:jc w:val="both"/>
        <w:ind w:left="1020" w:right="180" w:hanging="512"/>
        <w:spacing w:after="0" w:line="263" w:lineRule="auto"/>
        <w:tabs>
          <w:tab w:leader="none" w:pos="102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98" w:name="page299"/>
    <w:bookmarkEnd w:id="298"/>
    <w:p>
      <w:pPr>
        <w:ind w:left="1040" w:right="280"/>
        <w:spacing w:after="0" w:line="277" w:lineRule="auto"/>
        <w:rPr>
          <w:sz w:val="20"/>
          <w:szCs w:val="20"/>
          <w:color w:val="auto"/>
        </w:rPr>
      </w:pPr>
      <w:r>
        <w:rPr>
          <w:rFonts w:ascii="Arial" w:cs="Arial" w:eastAsia="Arial" w:hAnsi="Arial"/>
          <w:sz w:val="18"/>
          <w:szCs w:val="18"/>
          <w:color w:val="auto"/>
        </w:rPr>
        <w:t>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170" w:lineRule="exact"/>
        <w:rPr>
          <w:sz w:val="20"/>
          <w:szCs w:val="20"/>
          <w:color w:val="auto"/>
        </w:rPr>
      </w:pPr>
    </w:p>
    <w:p>
      <w:pPr>
        <w:ind w:left="1040" w:hanging="532"/>
        <w:spacing w:after="0"/>
        <w:tabs>
          <w:tab w:leader="none" w:pos="10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Limitation of liability</w:t>
      </w:r>
    </w:p>
    <w:p>
      <w:pPr>
        <w:spacing w:after="0" w:line="229" w:lineRule="exact"/>
        <w:rPr>
          <w:sz w:val="20"/>
          <w:szCs w:val="20"/>
          <w:color w:val="auto"/>
        </w:rPr>
      </w:pPr>
    </w:p>
    <w:p>
      <w:pPr>
        <w:ind w:left="1020" w:hanging="512"/>
        <w:spacing w:after="0" w:line="277" w:lineRule="auto"/>
        <w:tabs>
          <w:tab w:leader="none" w:pos="102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3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66" w:lineRule="exact"/>
        <w:rPr>
          <w:sz w:val="20"/>
          <w:szCs w:val="20"/>
          <w:color w:val="auto"/>
        </w:rPr>
      </w:pPr>
    </w:p>
    <w:p>
      <w:pPr>
        <w:ind w:right="9120" w:firstLine="8"/>
        <w:spacing w:after="0" w:line="566" w:lineRule="auto"/>
        <w:tabs>
          <w:tab w:leader="none" w:pos="490"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16.1 Transaction expenses</w:t>
      </w:r>
    </w:p>
    <w:p>
      <w:pPr>
        <w:ind w:left="520" w:right="80"/>
        <w:spacing w:after="0" w:line="259" w:lineRule="auto"/>
        <w:rPr>
          <w:sz w:val="20"/>
          <w:szCs w:val="20"/>
          <w:color w:val="auto"/>
        </w:rPr>
      </w:pPr>
      <w:r>
        <w:rPr>
          <w:rFonts w:ascii="Arial" w:cs="Arial" w:eastAsia="Arial" w:hAnsi="Arial"/>
          <w:sz w:val="18"/>
          <w:szCs w:val="18"/>
          <w:color w:val="auto"/>
        </w:rPr>
        <w:t>The Borrower shall promptly within five (5) Business Days of demand pay the Agent, the Arranger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187" w:lineRule="exact"/>
        <w:rPr>
          <w:sz w:val="20"/>
          <w:szCs w:val="20"/>
          <w:color w:val="auto"/>
        </w:rPr>
      </w:pPr>
    </w:p>
    <w:p>
      <w:pPr>
        <w:ind w:left="1040" w:hanging="532"/>
        <w:spacing w:after="0"/>
        <w:tabs>
          <w:tab w:leader="none" w:pos="10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this Agreement, the Hedging Master Agreements, any other documents referred to in this Agreement and the Original Security Documents;</w:t>
      </w:r>
    </w:p>
    <w:p>
      <w:pPr>
        <w:spacing w:after="0" w:line="248" w:lineRule="exact"/>
        <w:rPr>
          <w:rFonts w:ascii="Arial" w:cs="Arial" w:eastAsia="Arial" w:hAnsi="Arial"/>
          <w:sz w:val="16"/>
          <w:szCs w:val="16"/>
          <w:color w:val="auto"/>
        </w:rPr>
      </w:pPr>
    </w:p>
    <w:p>
      <w:pPr>
        <w:ind w:left="1020" w:right="400" w:hanging="512"/>
        <w:spacing w:after="0" w:line="277" w:lineRule="auto"/>
        <w:tabs>
          <w:tab w:leader="none" w:pos="103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Amendment costs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040" w:hanging="532"/>
        <w:spacing w:after="0"/>
        <w:tabs>
          <w:tab w:leader="none" w:pos="10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 amendment is required pursuant to clause 35.10 (</w:t>
      </w:r>
      <w:r>
        <w:rPr>
          <w:rFonts w:ascii="Arial" w:cs="Arial" w:eastAsia="Arial" w:hAnsi="Arial"/>
          <w:sz w:val="18"/>
          <w:szCs w:val="18"/>
          <w:i w:val="1"/>
          <w:iCs w:val="1"/>
          <w:color w:val="auto"/>
        </w:rPr>
        <w:t>Change of currency</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amendment or waiver is contemplated or agreed pursuant to clause 41.8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w:t>
      </w:r>
    </w:p>
    <w:p>
      <w:pPr>
        <w:spacing w:after="0" w:line="225" w:lineRule="exact"/>
        <w:rPr>
          <w:sz w:val="20"/>
          <w:szCs w:val="20"/>
          <w:color w:val="auto"/>
        </w:rPr>
      </w:pPr>
    </w:p>
    <w:p>
      <w:pPr>
        <w:ind w:left="500" w:right="80"/>
        <w:spacing w:after="0" w:line="293" w:lineRule="auto"/>
        <w:rPr>
          <w:sz w:val="20"/>
          <w:szCs w:val="20"/>
          <w:color w:val="auto"/>
        </w:rPr>
      </w:pPr>
      <w:r>
        <w:rPr>
          <w:rFonts w:ascii="Arial" w:cs="Arial" w:eastAsia="Arial" w:hAnsi="Arial"/>
          <w:sz w:val="16"/>
          <w:szCs w:val="16"/>
          <w:color w:val="auto"/>
        </w:rPr>
        <w:t>the Borrower shall, within five (5) Business Days of demand by the Agent, reimburse the Agent and the Security Agent for the amount of all costs and expenses (including fees, costs and expenses of legal advisers and (subject to clause 24.17 (</w:t>
      </w:r>
      <w:r>
        <w:rPr>
          <w:rFonts w:ascii="Arial" w:cs="Arial" w:eastAsia="Arial" w:hAnsi="Arial"/>
          <w:sz w:val="16"/>
          <w:szCs w:val="16"/>
          <w:i w:val="1"/>
          <w:iCs w:val="1"/>
          <w:color w:val="auto"/>
        </w:rPr>
        <w:t>Independent report</w:t>
      </w:r>
      <w:r>
        <w:rPr>
          <w:rFonts w:ascii="Arial" w:cs="Arial" w:eastAsia="Arial" w:hAnsi="Arial"/>
          <w:sz w:val="16"/>
          <w:szCs w:val="16"/>
          <w:color w:val="auto"/>
        </w:rPr>
        <w:t>) insurance and other consultants and advisers) reasonably incurred by the Agent or the Security Agent (and by any Receiver or Delegate) in responding to, evaluating, negotiating or complying with that request or requirement. The Parties agree that if at any time the Agent and the Security Agent shall be a different person, the Security Agent will be entitled to issue demands to, and require reimbursement of, such costs and expenses referred to in this clause 16.2 from the Borrower under this clause, provided reimbursement of such costs has not already been demanded by, and paid by the Borrower to, the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9" w:name="page300"/>
    <w:bookmarkEnd w:id="299"/>
    <w:p>
      <w:pPr>
        <w:spacing w:after="0"/>
        <w:tabs>
          <w:tab w:leader="none" w:pos="4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Valuations and inspection costs</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The Borrower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87" w:lineRule="exact"/>
        <w:rPr>
          <w:sz w:val="20"/>
          <w:szCs w:val="20"/>
          <w:color w:val="auto"/>
        </w:rPr>
      </w:pPr>
    </w:p>
    <w:p>
      <w:pPr>
        <w:ind w:left="1020" w:right="420" w:hanging="512"/>
        <w:spacing w:after="0" w:line="277" w:lineRule="auto"/>
        <w:tabs>
          <w:tab w:leader="none" w:pos="102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 or</w:t>
      </w:r>
    </w:p>
    <w:p>
      <w:pPr>
        <w:spacing w:after="0" w:line="170" w:lineRule="exact"/>
        <w:rPr>
          <w:rFonts w:ascii="Arial" w:cs="Arial" w:eastAsia="Arial" w:hAnsi="Arial"/>
          <w:sz w:val="18"/>
          <w:szCs w:val="18"/>
          <w:color w:val="auto"/>
        </w:rPr>
      </w:pPr>
    </w:p>
    <w:p>
      <w:pPr>
        <w:ind w:left="1020" w:right="340" w:hanging="512"/>
        <w:spacing w:after="0" w:line="277" w:lineRule="auto"/>
        <w:tabs>
          <w:tab w:leader="none" w:pos="10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inspection carried out under clause 23.8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23.16 (</w:t>
      </w:r>
      <w:r>
        <w:rPr>
          <w:rFonts w:ascii="Arial" w:cs="Arial" w:eastAsia="Arial" w:hAnsi="Arial"/>
          <w:sz w:val="18"/>
          <w:szCs w:val="18"/>
          <w:i w:val="1"/>
          <w:iCs w:val="1"/>
          <w:color w:val="auto"/>
        </w:rPr>
        <w:t>Survey</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Enforcement and preservation costs</w:t>
      </w:r>
    </w:p>
    <w:p>
      <w:pPr>
        <w:spacing w:after="0" w:line="229"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The Borrower shall, on demand by a Finance Party, pay to each Finance Party (through the Agent, except where a payment is to be made to the Security Agent, in which case such payment shall be made directly to the Security Agent provided reimbursement of such costs has not already been demanded by, and paid by the Borrower to, the Agent), the amount of all costs and expenses (including fees, costs and expenses of legal advisers and insurance and other consultants, brokers, surveyors and advisers) incurred by that Finance Party in connection with 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73" w:lineRule="exact"/>
        <w:rPr>
          <w:sz w:val="20"/>
          <w:szCs w:val="20"/>
          <w:color w:val="auto"/>
        </w:rPr>
      </w:pPr>
    </w:p>
    <w:p>
      <w:pPr>
        <w:jc w:val="both"/>
        <w:ind w:right="8740" w:firstLine="8"/>
        <w:spacing w:after="0" w:line="566" w:lineRule="auto"/>
        <w:tabs>
          <w:tab w:leader="none" w:pos="49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Guarantee and indemnity 17.1 Guarantee and indemnity</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Each Guarantor hereby irrevocably and unconditionally and jointly and severally with the other Guarantors:</w:t>
      </w:r>
    </w:p>
    <w:p>
      <w:pPr>
        <w:spacing w:after="0" w:line="225" w:lineRule="exact"/>
        <w:rPr>
          <w:rFonts w:ascii="Arial" w:cs="Arial" w:eastAsia="Arial" w:hAnsi="Arial"/>
          <w:sz w:val="16"/>
          <w:szCs w:val="16"/>
          <w:b w:val="1"/>
          <w:bCs w:val="1"/>
          <w:color w:val="auto"/>
        </w:rPr>
      </w:pPr>
    </w:p>
    <w:p>
      <w:pPr>
        <w:ind w:left="1020" w:right="560" w:hanging="512"/>
        <w:spacing w:after="0" w:line="277" w:lineRule="auto"/>
        <w:tabs>
          <w:tab w:leader="none" w:pos="102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70" w:lineRule="exact"/>
        <w:rPr>
          <w:rFonts w:ascii="Arial" w:cs="Arial" w:eastAsia="Arial" w:hAnsi="Arial"/>
          <w:sz w:val="18"/>
          <w:szCs w:val="18"/>
          <w:color w:val="auto"/>
        </w:rPr>
      </w:pPr>
    </w:p>
    <w:p>
      <w:pPr>
        <w:ind w:left="1020" w:right="100" w:hanging="512"/>
        <w:spacing w:after="0" w:line="263" w:lineRule="auto"/>
        <w:tabs>
          <w:tab w:leader="none" w:pos="103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183" w:lineRule="exact"/>
        <w:rPr>
          <w:rFonts w:ascii="Arial" w:cs="Arial" w:eastAsia="Arial" w:hAnsi="Arial"/>
          <w:sz w:val="18"/>
          <w:szCs w:val="18"/>
          <w:color w:val="auto"/>
        </w:rPr>
      </w:pPr>
    </w:p>
    <w:p>
      <w:pPr>
        <w:ind w:left="1020" w:right="240" w:hanging="512"/>
        <w:spacing w:after="0" w:line="308" w:lineRule="auto"/>
        <w:tabs>
          <w:tab w:leader="none" w:pos="1037"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46"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(i)</w:t>
      </w:r>
    </w:p>
    <w:p>
      <w:pPr>
        <w:spacing w:after="0" w:line="225" w:lineRule="exact"/>
        <w:rPr>
          <w:rFonts w:ascii="Arial" w:cs="Arial" w:eastAsia="Arial" w:hAnsi="Arial"/>
          <w:sz w:val="17"/>
          <w:szCs w:val="17"/>
          <w:color w:val="auto"/>
        </w:rPr>
      </w:pPr>
    </w:p>
    <w:p>
      <w:pPr>
        <w:ind w:left="2060" w:hanging="521"/>
        <w:spacing w:after="0"/>
        <w:tabs>
          <w:tab w:leader="none" w:pos="20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if any obligation guaranteed by it is or becomes unenforceable, invalid or illegal; or</w:t>
      </w:r>
    </w:p>
    <w:p>
      <w:pPr>
        <w:spacing w:after="0" w:line="225" w:lineRule="exact"/>
        <w:rPr>
          <w:rFonts w:ascii="Arial" w:cs="Arial" w:eastAsia="Arial" w:hAnsi="Arial"/>
          <w:sz w:val="18"/>
          <w:szCs w:val="18"/>
          <w:color w:val="auto"/>
        </w:rPr>
      </w:pPr>
    </w:p>
    <w:p>
      <w:pPr>
        <w:ind w:left="2040" w:right="60" w:hanging="501"/>
        <w:spacing w:after="0" w:line="263" w:lineRule="auto"/>
        <w:tabs>
          <w:tab w:leader="none" w:pos="2053" w:val="left"/>
        </w:tabs>
        <w:numPr>
          <w:ilvl w:val="2"/>
          <w:numId w:val="307"/>
        </w:numPr>
        <w:rPr>
          <w:rFonts w:ascii="Arial" w:cs="Arial" w:eastAsia="Arial" w:hAnsi="Arial"/>
          <w:sz w:val="18"/>
          <w:szCs w:val="18"/>
          <w:color w:val="auto"/>
        </w:rPr>
      </w:pPr>
      <w:r>
        <w:rPr>
          <w:rFonts w:ascii="Arial" w:cs="Arial" w:eastAsia="Arial" w:hAnsi="Arial"/>
          <w:sz w:val="18"/>
          <w:szCs w:val="18"/>
          <w:color w:val="auto"/>
        </w:rPr>
        <w:t>by operation of law, and as a result of the same, the Borrower has not paid any amount which would, but for such unenforceability, invalidity, illegality or operation of law, have been payable by the Borrower under any Finance Document on the date when it would have been due; or</w:t>
      </w:r>
    </w:p>
    <w:p>
      <w:pPr>
        <w:spacing w:after="0" w:line="184" w:lineRule="exact"/>
        <w:rPr>
          <w:sz w:val="20"/>
          <w:szCs w:val="20"/>
          <w:color w:val="auto"/>
        </w:rPr>
      </w:pPr>
    </w:p>
    <w:p>
      <w:pPr>
        <w:ind w:left="1540" w:right="40" w:hanging="511"/>
        <w:spacing w:after="0" w:line="277" w:lineRule="auto"/>
        <w:tabs>
          <w:tab w:leader="none" w:pos="157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as a result (directly or indirectly) of the introduction of or any change in (or the interpretation, administration or application of) any law or regulation, or compliance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0" w:name="page301"/>
    <w:bookmarkEnd w:id="300"/>
    <w:p>
      <w:pPr>
        <w:ind w:left="1560"/>
        <w:spacing w:after="0" w:line="347" w:lineRule="auto"/>
        <w:rPr>
          <w:sz w:val="20"/>
          <w:szCs w:val="20"/>
          <w:color w:val="auto"/>
        </w:rPr>
      </w:pPr>
      <w:r>
        <w:rPr>
          <w:rFonts w:ascii="Arial" w:cs="Arial" w:eastAsia="Arial" w:hAnsi="Arial"/>
          <w:sz w:val="16"/>
          <w:szCs w:val="16"/>
          <w:color w:val="auto"/>
        </w:rPr>
        <w:t xml:space="preserve">with any law, regulation or administrative procedure made after entry into this Agreement (a </w:t>
      </w:r>
      <w:r>
        <w:rPr>
          <w:rFonts w:ascii="Arial" w:cs="Arial" w:eastAsia="Arial" w:hAnsi="Arial"/>
          <w:sz w:val="16"/>
          <w:szCs w:val="16"/>
          <w:b w:val="1"/>
          <w:bCs w:val="1"/>
          <w:color w:val="auto"/>
        </w:rPr>
        <w:t>Change in Law</w:t>
      </w:r>
      <w:r>
        <w:rPr>
          <w:rFonts w:ascii="Arial" w:cs="Arial" w:eastAsia="Arial" w:hAnsi="Arial"/>
          <w:sz w:val="16"/>
          <w:szCs w:val="16"/>
          <w:color w:val="auto"/>
        </w:rPr>
        <w:t>), there is a change in the currency, the value of the currency or the timing, place or manner in which any obligation guaranteed by a Guarantor is payable.</w:t>
      </w:r>
    </w:p>
    <w:p>
      <w:pPr>
        <w:spacing w:after="0" w:line="12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amount payable by a Guarantor under this indemnity:</w:t>
      </w:r>
    </w:p>
    <w:p>
      <w:pPr>
        <w:spacing w:after="0" w:line="225" w:lineRule="exact"/>
        <w:rPr>
          <w:sz w:val="20"/>
          <w:szCs w:val="20"/>
          <w:color w:val="auto"/>
        </w:rPr>
      </w:pPr>
    </w:p>
    <w:p>
      <w:pPr>
        <w:ind w:left="2040" w:right="300" w:hanging="501"/>
        <w:spacing w:after="0" w:line="342" w:lineRule="auto"/>
        <w:tabs>
          <w:tab w:leader="none" w:pos="205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23" w:lineRule="exact"/>
        <w:rPr>
          <w:rFonts w:ascii="Arial" w:cs="Arial" w:eastAsia="Arial" w:hAnsi="Arial"/>
          <w:sz w:val="16"/>
          <w:szCs w:val="16"/>
          <w:color w:val="auto"/>
        </w:rPr>
      </w:pPr>
    </w:p>
    <w:p>
      <w:pPr>
        <w:ind w:left="2040" w:right="20" w:hanging="501"/>
        <w:spacing w:after="0" w:line="257" w:lineRule="auto"/>
        <w:tabs>
          <w:tab w:leader="none" w:pos="205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in respect of paragraph (ii) above, shall include (aa) the difference between (x) the amount (if any) received by the Security Agent and the other Finance Parties from the Borrower and (y) the amount that the Borrower was obliged to pay under the original express terms of the Finance Documents in the currency specified in the Finance Documents, disregarding any Change in Law (the </w:t>
      </w:r>
      <w:r>
        <w:rPr>
          <w:rFonts w:ascii="Arial" w:cs="Arial" w:eastAsia="Arial" w:hAnsi="Arial"/>
          <w:sz w:val="18"/>
          <w:szCs w:val="18"/>
          <w:b w:val="1"/>
          <w:bCs w:val="1"/>
          <w:color w:val="auto"/>
        </w:rPr>
        <w:t>Original Currency</w:t>
      </w:r>
      <w:r>
        <w:rPr>
          <w:rFonts w:ascii="Arial" w:cs="Arial" w:eastAsia="Arial" w:hAnsi="Arial"/>
          <w:sz w:val="18"/>
          <w:szCs w:val="18"/>
          <w:color w:val="auto"/>
        </w:rPr>
        <w:t>), and (bb) all further costs, losses and liabilities suffered or incurred by the Security Agent and the other Finance Parties as a result of a Change in Law.</w:t>
      </w:r>
    </w:p>
    <w:p>
      <w:pPr>
        <w:spacing w:after="0" w:line="188" w:lineRule="exact"/>
        <w:rPr>
          <w:sz w:val="20"/>
          <w:szCs w:val="20"/>
          <w:color w:val="auto"/>
        </w:rPr>
      </w:pPr>
    </w:p>
    <w:p>
      <w:pPr>
        <w:ind w:left="520" w:right="120"/>
        <w:spacing w:after="0" w:line="273" w:lineRule="auto"/>
        <w:rPr>
          <w:sz w:val="20"/>
          <w:szCs w:val="20"/>
          <w:color w:val="auto"/>
        </w:rPr>
      </w:pPr>
      <w:r>
        <w:rPr>
          <w:rFonts w:ascii="Arial" w:cs="Arial" w:eastAsia="Arial" w:hAnsi="Arial"/>
          <w:sz w:val="17"/>
          <w:szCs w:val="17"/>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78" w:lineRule="exact"/>
        <w:rPr>
          <w:sz w:val="20"/>
          <w:szCs w:val="20"/>
          <w:color w:val="auto"/>
        </w:rPr>
      </w:pPr>
    </w:p>
    <w:p>
      <w:pPr>
        <w:ind w:left="520" w:right="240"/>
        <w:spacing w:after="0" w:line="263"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Security Agent, required, after taking into account any payments by the Borrower, to place the Security Agent and the other Finance Parties in a position reasonably comparable to that it would have been in had the Original Currency continued to exist.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Continuing guarantee</w:t>
      </w:r>
    </w:p>
    <w:p>
      <w:pPr>
        <w:spacing w:after="0" w:line="229"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5"/>
          <w:szCs w:val="15"/>
          <w:b w:val="1"/>
          <w:bCs w:val="1"/>
          <w:color w:val="auto"/>
        </w:rPr>
        <w:t>Reinstatement</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87" w:lineRule="exact"/>
        <w:rPr>
          <w:sz w:val="20"/>
          <w:szCs w:val="20"/>
          <w:color w:val="auto"/>
        </w:rPr>
      </w:pPr>
    </w:p>
    <w:p>
      <w:pPr>
        <w:ind w:left="1020" w:right="680" w:hanging="512"/>
        <w:spacing w:after="0" w:line="277" w:lineRule="auto"/>
        <w:tabs>
          <w:tab w:leader="none" w:pos="102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70" w:lineRule="exact"/>
        <w:rPr>
          <w:rFonts w:ascii="Arial" w:cs="Arial" w:eastAsia="Arial" w:hAnsi="Arial"/>
          <w:sz w:val="18"/>
          <w:szCs w:val="18"/>
          <w:color w:val="auto"/>
        </w:rPr>
      </w:pPr>
    </w:p>
    <w:p>
      <w:pPr>
        <w:ind w:left="1020" w:right="680" w:hanging="512"/>
        <w:spacing w:after="0" w:line="277" w:lineRule="auto"/>
        <w:tabs>
          <w:tab w:leader="none" w:pos="10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1" w:name="page302"/>
    <w:bookmarkEnd w:id="301"/>
    <w:p>
      <w:pPr>
        <w:spacing w:after="0"/>
        <w:tabs>
          <w:tab w:leader="none" w:pos="4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b w:val="1"/>
          <w:bCs w:val="1"/>
          <w:color w:val="auto"/>
        </w:rPr>
        <w:t>Waiver of defences</w:t>
      </w:r>
    </w:p>
    <w:p>
      <w:pPr>
        <w:spacing w:after="0" w:line="229" w:lineRule="exact"/>
        <w:rPr>
          <w:sz w:val="20"/>
          <w:szCs w:val="20"/>
          <w:color w:val="auto"/>
        </w:rPr>
      </w:pPr>
    </w:p>
    <w:p>
      <w:pPr>
        <w:ind w:left="520" w:right="180"/>
        <w:spacing w:after="0" w:line="263" w:lineRule="auto"/>
        <w:rPr>
          <w:sz w:val="20"/>
          <w:szCs w:val="20"/>
          <w:color w:val="auto"/>
        </w:rPr>
      </w:pPr>
      <w:r>
        <w:rPr>
          <w:rFonts w:ascii="Arial" w:cs="Arial" w:eastAsia="Arial" w:hAnsi="Arial"/>
          <w:sz w:val="18"/>
          <w:szCs w:val="18"/>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184" w:lineRule="exact"/>
        <w:rPr>
          <w:sz w:val="20"/>
          <w:szCs w:val="20"/>
          <w:color w:val="auto"/>
        </w:rPr>
      </w:pPr>
    </w:p>
    <w:p>
      <w:pPr>
        <w:ind w:left="1040" w:hanging="532"/>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25" w:lineRule="exact"/>
        <w:rPr>
          <w:rFonts w:ascii="Arial" w:cs="Arial" w:eastAsia="Arial" w:hAnsi="Arial"/>
          <w:sz w:val="18"/>
          <w:szCs w:val="18"/>
          <w:color w:val="auto"/>
        </w:rPr>
      </w:pPr>
    </w:p>
    <w:p>
      <w:pPr>
        <w:ind w:left="1020" w:right="500" w:hanging="512"/>
        <w:spacing w:after="0" w:line="277" w:lineRule="auto"/>
        <w:tabs>
          <w:tab w:leader="none" w:pos="103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70" w:lineRule="exact"/>
        <w:rPr>
          <w:rFonts w:ascii="Arial" w:cs="Arial" w:eastAsia="Arial" w:hAnsi="Arial"/>
          <w:sz w:val="18"/>
          <w:szCs w:val="18"/>
          <w:color w:val="auto"/>
        </w:rPr>
      </w:pPr>
    </w:p>
    <w:p>
      <w:pPr>
        <w:ind w:left="1020" w:right="120" w:hanging="512"/>
        <w:spacing w:after="0" w:line="263" w:lineRule="auto"/>
        <w:tabs>
          <w:tab w:leader="none" w:pos="103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3" w:lineRule="exact"/>
        <w:rPr>
          <w:rFonts w:ascii="Arial" w:cs="Arial" w:eastAsia="Arial" w:hAnsi="Arial"/>
          <w:sz w:val="18"/>
          <w:szCs w:val="18"/>
          <w:color w:val="auto"/>
        </w:rPr>
      </w:pPr>
    </w:p>
    <w:p>
      <w:pPr>
        <w:ind w:left="1020" w:right="20" w:hanging="512"/>
        <w:spacing w:after="0" w:line="277" w:lineRule="auto"/>
        <w:tabs>
          <w:tab w:leader="none" w:pos="103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70" w:lineRule="exact"/>
        <w:rPr>
          <w:rFonts w:ascii="Arial" w:cs="Arial" w:eastAsia="Arial" w:hAnsi="Arial"/>
          <w:sz w:val="18"/>
          <w:szCs w:val="18"/>
          <w:color w:val="auto"/>
        </w:rPr>
      </w:pPr>
    </w:p>
    <w:p>
      <w:pPr>
        <w:ind w:left="1020" w:right="60" w:hanging="512"/>
        <w:spacing w:after="0" w:line="311" w:lineRule="auto"/>
        <w:tabs>
          <w:tab w:leader="none" w:pos="1037"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48" w:lineRule="exact"/>
        <w:rPr>
          <w:rFonts w:ascii="Arial" w:cs="Arial" w:eastAsia="Arial" w:hAnsi="Arial"/>
          <w:sz w:val="16"/>
          <w:szCs w:val="16"/>
          <w:color w:val="auto"/>
        </w:rPr>
      </w:pPr>
    </w:p>
    <w:p>
      <w:pPr>
        <w:ind w:left="1040" w:hanging="532"/>
        <w:spacing w:after="0"/>
        <w:tabs>
          <w:tab w:leader="none" w:pos="10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w:t>
      </w:r>
    </w:p>
    <w:p>
      <w:pPr>
        <w:spacing w:after="0" w:line="248" w:lineRule="exact"/>
        <w:rPr>
          <w:rFonts w:ascii="Arial" w:cs="Arial" w:eastAsia="Arial" w:hAnsi="Arial"/>
          <w:sz w:val="16"/>
          <w:szCs w:val="16"/>
          <w:color w:val="auto"/>
        </w:rPr>
      </w:pPr>
    </w:p>
    <w:p>
      <w:pPr>
        <w:ind w:left="1060" w:hanging="552"/>
        <w:spacing w:after="0"/>
        <w:tabs>
          <w:tab w:leader="none" w:pos="10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w:t>
      </w:r>
    </w:p>
    <w:p>
      <w:pPr>
        <w:spacing w:after="0" w:line="225" w:lineRule="exact"/>
        <w:rPr>
          <w:rFonts w:ascii="Arial" w:cs="Arial" w:eastAsia="Arial" w:hAnsi="Arial"/>
          <w:sz w:val="18"/>
          <w:szCs w:val="18"/>
          <w:color w:val="auto"/>
        </w:rPr>
      </w:pPr>
    </w:p>
    <w:p>
      <w:pPr>
        <w:ind w:left="1060" w:hanging="552"/>
        <w:spacing w:after="0"/>
        <w:tabs>
          <w:tab w:leader="none" w:pos="10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defence of any Guarantor.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Guarantor intent</w:t>
      </w:r>
    </w:p>
    <w:p>
      <w:pPr>
        <w:spacing w:after="0" w:line="229"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color w:val="auto"/>
        </w:rPr>
        <w:t>Without prejudice to the generality of clause 17.4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Immediate recourse</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Appropriations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70" w:lineRule="exact"/>
        <w:rPr>
          <w:sz w:val="20"/>
          <w:szCs w:val="20"/>
          <w:color w:val="auto"/>
        </w:rPr>
      </w:pPr>
    </w:p>
    <w:p>
      <w:pPr>
        <w:ind w:left="1020" w:right="120" w:hanging="512"/>
        <w:spacing w:after="0" w:line="308" w:lineRule="auto"/>
        <w:tabs>
          <w:tab w:leader="none" w:pos="102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2" w:name="page303"/>
    <w:bookmarkEnd w:id="302"/>
    <w:p>
      <w:pPr>
        <w:ind w:left="1040"/>
        <w:spacing w:after="0"/>
        <w:rPr>
          <w:sz w:val="20"/>
          <w:szCs w:val="20"/>
          <w:color w:val="auto"/>
        </w:rPr>
      </w:pPr>
      <w:r>
        <w:rPr>
          <w:rFonts w:ascii="Arial" w:cs="Arial" w:eastAsia="Arial" w:hAnsi="Arial"/>
          <w:sz w:val="18"/>
          <w:szCs w:val="18"/>
          <w:color w:val="auto"/>
        </w:rPr>
        <w:t>those amounts or otherwise) and no Guarantor shall be entitled to the benefit of the same; and</w:t>
      </w:r>
    </w:p>
    <w:p>
      <w:pPr>
        <w:spacing w:after="0" w:line="225" w:lineRule="exact"/>
        <w:rPr>
          <w:sz w:val="20"/>
          <w:szCs w:val="20"/>
          <w:color w:val="auto"/>
        </w:rPr>
      </w:pPr>
    </w:p>
    <w:p>
      <w:pPr>
        <w:ind w:left="1020" w:right="280" w:hanging="512"/>
        <w:spacing w:after="0" w:line="277" w:lineRule="auto"/>
        <w:tabs>
          <w:tab w:leader="none" w:pos="103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Deferral of Guarantors’ rights</w:t>
      </w:r>
    </w:p>
    <w:p>
      <w:pPr>
        <w:spacing w:after="0" w:line="229" w:lineRule="exact"/>
        <w:rPr>
          <w:sz w:val="20"/>
          <w:szCs w:val="20"/>
          <w:color w:val="auto"/>
        </w:rPr>
      </w:pPr>
    </w:p>
    <w:p>
      <w:pPr>
        <w:ind w:left="520"/>
        <w:spacing w:after="0" w:line="311" w:lineRule="auto"/>
        <w:rPr>
          <w:sz w:val="20"/>
          <w:szCs w:val="20"/>
          <w:color w:val="auto"/>
        </w:rPr>
      </w:pPr>
      <w:r>
        <w:rPr>
          <w:rFonts w:ascii="Arial" w:cs="Arial" w:eastAsia="Arial" w:hAnsi="Arial"/>
          <w:sz w:val="16"/>
          <w:szCs w:val="16"/>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49" w:lineRule="exact"/>
        <w:rPr>
          <w:sz w:val="20"/>
          <w:szCs w:val="20"/>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25" w:lineRule="exact"/>
        <w:rPr>
          <w:rFonts w:ascii="Arial" w:cs="Arial" w:eastAsia="Arial" w:hAnsi="Arial"/>
          <w:sz w:val="18"/>
          <w:szCs w:val="18"/>
          <w:color w:val="auto"/>
        </w:rPr>
      </w:pPr>
    </w:p>
    <w:p>
      <w:pPr>
        <w:ind w:left="1020" w:right="200" w:hanging="512"/>
        <w:spacing w:after="0" w:line="263" w:lineRule="auto"/>
        <w:tabs>
          <w:tab w:leader="none" w:pos="103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3" w:lineRule="exact"/>
        <w:rPr>
          <w:rFonts w:ascii="Arial" w:cs="Arial" w:eastAsia="Arial" w:hAnsi="Arial"/>
          <w:sz w:val="18"/>
          <w:szCs w:val="18"/>
          <w:color w:val="auto"/>
        </w:rPr>
      </w:pPr>
    </w:p>
    <w:p>
      <w:pPr>
        <w:ind w:left="1020" w:right="120" w:hanging="512"/>
        <w:spacing w:after="0" w:line="277" w:lineRule="auto"/>
        <w:tabs>
          <w:tab w:leader="none" w:pos="103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25" w:lineRule="exact"/>
        <w:rPr>
          <w:sz w:val="20"/>
          <w:szCs w:val="20"/>
          <w:color w:val="auto"/>
        </w:rPr>
      </w:pPr>
    </w:p>
    <w:p>
      <w:pPr>
        <w:jc w:val="both"/>
        <w:ind w:left="520" w:right="580"/>
        <w:spacing w:after="0" w:line="263" w:lineRule="auto"/>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color w:val="auto"/>
        </w:rPr>
        <w:t>Additional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guarantee is in addition to and is not in any way prejudiced by any other guarantee or security now or subsequently held by any Finance Party.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Guarantors’ rights and obligations</w:t>
      </w:r>
    </w:p>
    <w:p>
      <w:pPr>
        <w:spacing w:after="0" w:line="229" w:lineRule="exact"/>
        <w:rPr>
          <w:sz w:val="20"/>
          <w:szCs w:val="20"/>
          <w:color w:val="auto"/>
        </w:rPr>
      </w:pPr>
    </w:p>
    <w:p>
      <w:pPr>
        <w:ind w:left="1020" w:hanging="512"/>
        <w:spacing w:after="0" w:line="277" w:lineRule="auto"/>
        <w:tabs>
          <w:tab w:leader="none" w:pos="102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agrees that it is responsible for the performance of the obligations of the other Guarantor under the Guarantee and this Agreement;</w:t>
      </w:r>
    </w:p>
    <w:p>
      <w:pPr>
        <w:spacing w:after="0" w:line="248" w:lineRule="exact"/>
        <w:rPr>
          <w:rFonts w:ascii="Arial" w:cs="Arial" w:eastAsia="Arial" w:hAnsi="Arial"/>
          <w:sz w:val="16"/>
          <w:szCs w:val="16"/>
          <w:color w:val="auto"/>
        </w:rPr>
      </w:pPr>
    </w:p>
    <w:p>
      <w:pPr>
        <w:ind w:left="1540" w:right="560" w:hanging="511"/>
        <w:spacing w:after="0" w:line="277" w:lineRule="auto"/>
        <w:tabs>
          <w:tab w:leader="none" w:pos="157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03" w:name="page304"/>
    <w:bookmarkEnd w:id="303"/>
    <w:p>
      <w:pPr>
        <w:ind w:left="1540" w:right="140" w:hanging="511"/>
        <w:spacing w:after="0" w:line="255" w:lineRule="auto"/>
        <w:tabs>
          <w:tab w:leader="none" w:pos="158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192" w:lineRule="exact"/>
        <w:rPr>
          <w:rFonts w:ascii="Arial" w:cs="Arial" w:eastAsia="Arial" w:hAnsi="Arial"/>
          <w:sz w:val="18"/>
          <w:szCs w:val="18"/>
          <w:color w:val="auto"/>
        </w:rPr>
      </w:pPr>
    </w:p>
    <w:p>
      <w:pPr>
        <w:ind w:left="1020" w:right="240" w:hanging="512"/>
        <w:spacing w:after="0" w:line="263" w:lineRule="auto"/>
        <w:tabs>
          <w:tab w:leader="none" w:pos="103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17.11 Amendments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amendment, waiver, discharge, release or consent in relation to the Guarantee and/or this clause 17 may only be made or given in writing.</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color w:val="auto"/>
        </w:rPr>
        <w:t>Each Obligor makes and repeats the representations and warranties set out in this clause 17 to each Finance Party at the times specified in clause 18.33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5"/>
          <w:szCs w:val="15"/>
          <w:b w:val="1"/>
          <w:bCs w:val="1"/>
          <w:color w:val="auto"/>
        </w:rPr>
        <w:t>Status</w:t>
      </w:r>
    </w:p>
    <w:p>
      <w:pPr>
        <w:spacing w:after="0" w:line="229" w:lineRule="exact"/>
        <w:rPr>
          <w:sz w:val="20"/>
          <w:szCs w:val="20"/>
          <w:color w:val="auto"/>
        </w:rPr>
      </w:pPr>
    </w:p>
    <w:p>
      <w:pPr>
        <w:ind w:left="1020" w:hanging="512"/>
        <w:spacing w:after="0" w:line="259" w:lineRule="auto"/>
        <w:tabs>
          <w:tab w:leader="none" w:pos="102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has no centre of main interests, permanent establishment or place of business outside the jurisdiction in which it is incorporated (save as notified to the Agent) and is in compliance with its Constitutional Documents.</w:t>
      </w:r>
    </w:p>
    <w:p>
      <w:pPr>
        <w:spacing w:after="0" w:line="186" w:lineRule="exact"/>
        <w:rPr>
          <w:rFonts w:ascii="Arial" w:cs="Arial" w:eastAsia="Arial" w:hAnsi="Arial"/>
          <w:sz w:val="18"/>
          <w:szCs w:val="18"/>
          <w:color w:val="auto"/>
        </w:rPr>
      </w:pPr>
    </w:p>
    <w:p>
      <w:pPr>
        <w:ind w:left="1020" w:right="240" w:hanging="512"/>
        <w:spacing w:after="0" w:line="277" w:lineRule="auto"/>
        <w:tabs>
          <w:tab w:leader="none" w:pos="103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Binding obligations</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Subject to the Legal Reservations, the obligations expressed to be assumed by each Obligor and each Manager in each Finance Document and any Charter Document to which it is, or is to be, a party are or, when entered into by it, will be legal, valid, binding and enforceable obligations and each Security Document to which an Obligor or a Manager is, or will be, a party, creates or will create the Security Interests which that Security Document purports to create and those Security Interests are or will be valid and effective.</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Power and authority</w:t>
      </w:r>
    </w:p>
    <w:p>
      <w:pPr>
        <w:spacing w:after="0" w:line="229" w:lineRule="exact"/>
        <w:rPr>
          <w:sz w:val="20"/>
          <w:szCs w:val="20"/>
          <w:color w:val="auto"/>
        </w:rPr>
      </w:pPr>
    </w:p>
    <w:p>
      <w:pPr>
        <w:ind w:left="1020" w:right="80" w:hanging="512"/>
        <w:spacing w:after="0" w:line="259" w:lineRule="auto"/>
        <w:tabs>
          <w:tab w:leader="none" w:pos="102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Obligor and each Manager has, or will have when entered into by it, power to enter into, perform and deliver and comply with its obligations under, and has taken, or will take when entered into by it, all necessary action to authorise its entry into, performance or delivery of, and compliance with, each Finance Document and any Charter Document to which it is, or is to be a party and each of the transactions contemplated by those documents.</w:t>
      </w:r>
    </w:p>
    <w:p>
      <w:pPr>
        <w:spacing w:after="0" w:line="186" w:lineRule="exact"/>
        <w:rPr>
          <w:rFonts w:ascii="Arial" w:cs="Arial" w:eastAsia="Arial" w:hAnsi="Arial"/>
          <w:sz w:val="18"/>
          <w:szCs w:val="18"/>
          <w:color w:val="auto"/>
        </w:rPr>
      </w:pPr>
    </w:p>
    <w:p>
      <w:pPr>
        <w:ind w:left="1020" w:right="600" w:hanging="512"/>
        <w:spacing w:after="0" w:line="277" w:lineRule="auto"/>
        <w:tabs>
          <w:tab w:leader="none" w:pos="103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limitation on any Obligor’s or Manager’s powers to borrow, create security or give guarantees will be exceeded as a result of any transaction under, or the entry into of,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4" w:name="page305"/>
    <w:bookmarkEnd w:id="304"/>
    <w:p>
      <w:pPr>
        <w:ind w:left="1040"/>
        <w:spacing w:after="0"/>
        <w:rPr>
          <w:sz w:val="20"/>
          <w:szCs w:val="20"/>
          <w:color w:val="auto"/>
        </w:rPr>
      </w:pPr>
      <w:r>
        <w:rPr>
          <w:rFonts w:ascii="Arial" w:cs="Arial" w:eastAsia="Arial" w:hAnsi="Arial"/>
          <w:sz w:val="18"/>
          <w:szCs w:val="18"/>
          <w:color w:val="auto"/>
        </w:rPr>
        <w:t>Finance Document and any Charter Document to which such Obligor or Manager is, or is to be, a party.</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Non-conflict</w:t>
      </w:r>
    </w:p>
    <w:p>
      <w:pPr>
        <w:spacing w:after="0" w:line="229" w:lineRule="exact"/>
        <w:rPr>
          <w:sz w:val="20"/>
          <w:szCs w:val="20"/>
          <w:color w:val="auto"/>
        </w:rPr>
      </w:pPr>
    </w:p>
    <w:p>
      <w:pPr>
        <w:ind w:left="520" w:right="80"/>
        <w:spacing w:after="0" w:line="342" w:lineRule="auto"/>
        <w:rPr>
          <w:sz w:val="20"/>
          <w:szCs w:val="20"/>
          <w:color w:val="auto"/>
        </w:rPr>
      </w:pPr>
      <w:r>
        <w:rPr>
          <w:rFonts w:ascii="Arial" w:cs="Arial" w:eastAsia="Arial" w:hAnsi="Arial"/>
          <w:sz w:val="16"/>
          <w:szCs w:val="16"/>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24" w:lineRule="exact"/>
        <w:rPr>
          <w:sz w:val="20"/>
          <w:szCs w:val="20"/>
          <w:color w:val="auto"/>
        </w:rPr>
      </w:pPr>
    </w:p>
    <w:p>
      <w:pPr>
        <w:ind w:left="1040" w:hanging="53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w:t>
      </w:r>
    </w:p>
    <w:p>
      <w:pPr>
        <w:spacing w:after="0" w:line="225" w:lineRule="exact"/>
        <w:rPr>
          <w:sz w:val="20"/>
          <w:szCs w:val="20"/>
          <w:color w:val="auto"/>
        </w:rPr>
      </w:pPr>
    </w:p>
    <w:p>
      <w:pPr>
        <w:jc w:val="both"/>
        <w:ind w:left="520" w:right="320"/>
        <w:spacing w:after="0" w:line="342" w:lineRule="auto"/>
        <w:rPr>
          <w:sz w:val="20"/>
          <w:szCs w:val="20"/>
          <w:color w:val="auto"/>
        </w:rPr>
      </w:pPr>
      <w:r>
        <w:rPr>
          <w:rFonts w:ascii="Arial" w:cs="Arial" w:eastAsia="Arial" w:hAnsi="Arial"/>
          <w:sz w:val="16"/>
          <w:szCs w:val="16"/>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Validity and admissibility in evidence</w:t>
      </w:r>
    </w:p>
    <w:p>
      <w:pPr>
        <w:spacing w:after="0" w:line="229" w:lineRule="exact"/>
        <w:rPr>
          <w:sz w:val="20"/>
          <w:szCs w:val="20"/>
          <w:color w:val="auto"/>
        </w:rPr>
      </w:pPr>
    </w:p>
    <w:p>
      <w:pPr>
        <w:ind w:left="1040" w:hanging="532"/>
        <w:spacing w:after="0"/>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225" w:lineRule="exact"/>
        <w:rPr>
          <w:rFonts w:ascii="Arial" w:cs="Arial" w:eastAsia="Arial" w:hAnsi="Arial"/>
          <w:sz w:val="18"/>
          <w:szCs w:val="18"/>
          <w:color w:val="auto"/>
        </w:rPr>
      </w:pPr>
    </w:p>
    <w:p>
      <w:pPr>
        <w:ind w:left="1540" w:hanging="511"/>
        <w:spacing w:after="0" w:line="277" w:lineRule="auto"/>
        <w:tabs>
          <w:tab w:leader="none" w:pos="156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enable each Obligor and each Manager lawfully to enter into, exercise its rights and comply with its obligations under each Finance Document and any Charter Document to which it is a party;</w:t>
      </w:r>
    </w:p>
    <w:p>
      <w:pPr>
        <w:spacing w:after="0" w:line="170" w:lineRule="exact"/>
        <w:rPr>
          <w:rFonts w:ascii="Arial" w:cs="Arial" w:eastAsia="Arial" w:hAnsi="Arial"/>
          <w:sz w:val="18"/>
          <w:szCs w:val="18"/>
          <w:color w:val="auto"/>
        </w:rPr>
      </w:pPr>
    </w:p>
    <w:p>
      <w:pPr>
        <w:ind w:left="1540" w:right="80" w:hanging="511"/>
        <w:spacing w:after="0" w:line="277" w:lineRule="auto"/>
        <w:tabs>
          <w:tab w:leader="none" w:pos="157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to ensure that each of the Security Interests created under the Security Documents has the priority and ranking contemplated by them,</w:t>
      </w:r>
    </w:p>
    <w:p>
      <w:pPr>
        <w:spacing w:after="0" w:line="248" w:lineRule="exact"/>
        <w:rPr>
          <w:sz w:val="20"/>
          <w:szCs w:val="20"/>
          <w:color w:val="auto"/>
        </w:rPr>
      </w:pPr>
    </w:p>
    <w:p>
      <w:pPr>
        <w:ind w:left="1020" w:right="40"/>
        <w:spacing w:after="0" w:line="263" w:lineRule="auto"/>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which authorisation or filing will be promptly obtained or effected within any applicable period.</w:t>
      </w:r>
    </w:p>
    <w:p>
      <w:pPr>
        <w:spacing w:after="0" w:line="184" w:lineRule="exact"/>
        <w:rPr>
          <w:sz w:val="20"/>
          <w:szCs w:val="20"/>
          <w:color w:val="auto"/>
        </w:rPr>
      </w:pPr>
    </w:p>
    <w:p>
      <w:pPr>
        <w:ind w:left="1020" w:right="260" w:hanging="512"/>
        <w:spacing w:after="0" w:line="342" w:lineRule="auto"/>
        <w:tabs>
          <w:tab w:leader="none" w:pos="103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Governing law and enforcement</w:t>
      </w:r>
    </w:p>
    <w:p>
      <w:pPr>
        <w:spacing w:after="0" w:line="229" w:lineRule="exact"/>
        <w:rPr>
          <w:sz w:val="20"/>
          <w:szCs w:val="20"/>
          <w:color w:val="auto"/>
        </w:rPr>
      </w:pPr>
    </w:p>
    <w:p>
      <w:pPr>
        <w:ind w:left="1020" w:right="520" w:hanging="512"/>
        <w:spacing w:after="0" w:line="342" w:lineRule="auto"/>
        <w:tabs>
          <w:tab w:leader="none" w:pos="1023"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any relevant Legal Reservations, the choice of English law or any other applicable law as the governing law of any Finance Document and any Charter Document will be recognised and enforced in each Obligor’s and Manager’s Relevant Jurisdictions.</w:t>
      </w:r>
    </w:p>
    <w:p>
      <w:pPr>
        <w:spacing w:after="0" w:line="123" w:lineRule="exact"/>
        <w:rPr>
          <w:rFonts w:ascii="Arial" w:cs="Arial" w:eastAsia="Arial" w:hAnsi="Arial"/>
          <w:sz w:val="16"/>
          <w:szCs w:val="16"/>
          <w:color w:val="auto"/>
        </w:rPr>
      </w:pPr>
    </w:p>
    <w:p>
      <w:pPr>
        <w:ind w:left="1020" w:right="60" w:hanging="512"/>
        <w:spacing w:after="0" w:line="277" w:lineRule="auto"/>
        <w:tabs>
          <w:tab w:leader="none" w:pos="103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or a Manager will be recognised and enforced in each Obligor’s and each Manager’s Relevant Jurisdictions.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Information</w:t>
      </w:r>
    </w:p>
    <w:p>
      <w:pPr>
        <w:spacing w:after="0" w:line="229" w:lineRule="exact"/>
        <w:rPr>
          <w:sz w:val="20"/>
          <w:szCs w:val="20"/>
          <w:color w:val="auto"/>
        </w:rPr>
      </w:pPr>
    </w:p>
    <w:p>
      <w:pPr>
        <w:ind w:left="1300" w:hanging="644"/>
        <w:spacing w:after="0"/>
        <w:tabs>
          <w:tab w:leader="none" w:pos="13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225" w:lineRule="exact"/>
        <w:rPr>
          <w:rFonts w:ascii="Arial" w:cs="Arial" w:eastAsia="Arial" w:hAnsi="Arial"/>
          <w:sz w:val="18"/>
          <w:szCs w:val="18"/>
          <w:color w:val="auto"/>
        </w:rPr>
      </w:pPr>
    </w:p>
    <w:p>
      <w:pPr>
        <w:ind w:left="1300" w:right="600" w:hanging="644"/>
        <w:spacing w:after="0" w:line="277" w:lineRule="auto"/>
        <w:tabs>
          <w:tab w:leader="none" w:pos="130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1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6" w:lineRule="exact"/>
        <w:rPr>
          <w:rFonts w:ascii="Arial" w:cs="Arial" w:eastAsia="Arial" w:hAnsi="Arial"/>
          <w:sz w:val="18"/>
          <w:szCs w:val="18"/>
          <w:color w:val="auto"/>
        </w:rPr>
      </w:pPr>
    </w:p>
    <w:p>
      <w:pPr>
        <w:ind w:left="1300" w:right="100" w:hanging="644"/>
        <w:spacing w:after="0" w:line="266" w:lineRule="auto"/>
        <w:tabs>
          <w:tab w:leader="none" w:pos="131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or the Charter Documents or the transactions referred to in them (including that contained in any information memorandum).</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Original Financial Statements</w:t>
      </w:r>
    </w:p>
    <w:p>
      <w:pPr>
        <w:spacing w:after="0" w:line="229"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Original Financial Statements give a true and fair view of the financial condition and results of operations of the relevant Obligors and the Group (consolidated in the case of the Group and the Guarantors) during the relevant financial year.</w:t>
      </w:r>
    </w:p>
    <w:p>
      <w:pPr>
        <w:spacing w:after="0" w:line="146" w:lineRule="exact"/>
        <w:rPr>
          <w:rFonts w:ascii="Arial" w:cs="Arial" w:eastAsia="Arial" w:hAnsi="Arial"/>
          <w:sz w:val="17"/>
          <w:szCs w:val="17"/>
          <w:color w:val="auto"/>
        </w:rPr>
      </w:pPr>
    </w:p>
    <w:p>
      <w:pPr>
        <w:jc w:val="both"/>
        <w:ind w:left="1300" w:hanging="644"/>
        <w:spacing w:after="0" w:line="263" w:lineRule="auto"/>
        <w:tabs>
          <w:tab w:leader="none" w:pos="13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since the date of the latest Financial Statements delivered under this Agreement to the Finance Parties which has had or might reasonably be expected to have a Material Adverse Effect.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Pari passu ranking</w:t>
      </w:r>
    </w:p>
    <w:p>
      <w:pPr>
        <w:sectPr>
          <w:pgSz w:w="11900" w:h="16838" w:orient="portrait"/>
          <w:cols w:equalWidth="0" w:num="1">
            <w:col w:w="11220"/>
          </w:cols>
          <w:pgMar w:left="320" w:top="341" w:right="359" w:bottom="0" w:gutter="0" w:footer="0" w:header="0"/>
        </w:sectPr>
      </w:pPr>
    </w:p>
    <w:bookmarkStart w:id="305" w:name="page306"/>
    <w:bookmarkEnd w:id="305"/>
    <w:p>
      <w:pPr>
        <w:ind w:left="660"/>
        <w:spacing w:after="0" w:line="263" w:lineRule="auto"/>
        <w:rPr>
          <w:sz w:val="20"/>
          <w:szCs w:val="20"/>
          <w:color w:val="auto"/>
        </w:rPr>
      </w:pPr>
      <w:r>
        <w:rPr>
          <w:rFonts w:ascii="Arial" w:cs="Arial" w:eastAsia="Arial" w:hAnsi="Arial"/>
          <w:sz w:val="18"/>
          <w:szCs w:val="18"/>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5"/>
          <w:szCs w:val="15"/>
          <w:b w:val="1"/>
          <w:bCs w:val="1"/>
          <w:color w:val="auto"/>
        </w:rPr>
        <w:t>Ranking and effectiveness of security</w:t>
      </w:r>
    </w:p>
    <w:p>
      <w:pPr>
        <w:spacing w:after="0" w:line="229"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of Utilisation Request</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5"/>
          <w:szCs w:val="15"/>
          <w:b w:val="1"/>
          <w:bCs w:val="1"/>
          <w:color w:val="auto"/>
        </w:rPr>
        <w:t>No insolvency</w:t>
      </w:r>
    </w:p>
    <w:p>
      <w:pPr>
        <w:spacing w:after="0" w:line="229"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color w:val="auto"/>
        </w:rPr>
        <w:t>No corporate action, legal proceeding or other procedure or step described in clause 29.9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29.10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29.8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6" w:name="page307"/>
    <w:bookmarkEnd w:id="306"/>
    <w:p>
      <w:pPr>
        <w:spacing w:after="0"/>
        <w:tabs>
          <w:tab w:leader="none" w:pos="6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b w:val="1"/>
          <w:bCs w:val="1"/>
          <w:color w:val="auto"/>
        </w:rPr>
        <w:t>No filing or stamp taxes</w:t>
      </w:r>
    </w:p>
    <w:p>
      <w:pPr>
        <w:spacing w:after="0" w:line="229"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b w:val="1"/>
          <w:bCs w:val="1"/>
          <w:color w:val="auto"/>
        </w:rPr>
        <w:t>Tax</w:t>
      </w:r>
    </w:p>
    <w:p>
      <w:pPr>
        <w:spacing w:after="0" w:line="229" w:lineRule="exact"/>
        <w:rPr>
          <w:sz w:val="20"/>
          <w:szCs w:val="20"/>
          <w:color w:val="auto"/>
        </w:rPr>
      </w:pPr>
    </w:p>
    <w:p>
      <w:pPr>
        <w:ind w:left="660" w:right="140"/>
        <w:spacing w:after="0" w:line="342" w:lineRule="auto"/>
        <w:rPr>
          <w:sz w:val="20"/>
          <w:szCs w:val="20"/>
          <w:color w:val="auto"/>
        </w:rPr>
      </w:pPr>
      <w:r>
        <w:rPr>
          <w:rFonts w:ascii="Arial" w:cs="Arial" w:eastAsia="Arial" w:hAnsi="Arial"/>
          <w:sz w:val="16"/>
          <w:szCs w:val="16"/>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b w:val="1"/>
          <w:bCs w:val="1"/>
          <w:color w:val="auto"/>
        </w:rPr>
        <w:t>No Default</w:t>
      </w:r>
    </w:p>
    <w:p>
      <w:pPr>
        <w:spacing w:after="0" w:line="229" w:lineRule="exact"/>
        <w:rPr>
          <w:sz w:val="20"/>
          <w:szCs w:val="20"/>
          <w:color w:val="auto"/>
        </w:rPr>
      </w:pPr>
    </w:p>
    <w:p>
      <w:pPr>
        <w:ind w:left="1300" w:right="180" w:hanging="644"/>
        <w:spacing w:after="0" w:line="277" w:lineRule="auto"/>
        <w:tabs>
          <w:tab w:leader="none" w:pos="129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the Utilisation or the entry into, the performance of, or any transaction contemplated by, any Finance Document or any Charter Document.</w:t>
      </w:r>
    </w:p>
    <w:p>
      <w:pPr>
        <w:spacing w:after="0" w:line="170" w:lineRule="exact"/>
        <w:rPr>
          <w:rFonts w:ascii="Arial" w:cs="Arial" w:eastAsia="Arial" w:hAnsi="Arial"/>
          <w:sz w:val="18"/>
          <w:szCs w:val="18"/>
          <w:color w:val="auto"/>
        </w:rPr>
      </w:pPr>
    </w:p>
    <w:p>
      <w:pPr>
        <w:ind w:left="1300" w:hanging="644"/>
        <w:spacing w:after="0" w:line="279" w:lineRule="auto"/>
        <w:tabs>
          <w:tab w:leader="none" w:pos="1307" w:val="left"/>
        </w:tabs>
        <w:numPr>
          <w:ilvl w:val="0"/>
          <w:numId w:val="326"/>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71" w:lineRule="exact"/>
        <w:rPr>
          <w:rFonts w:ascii="Arial" w:cs="Arial" w:eastAsia="Arial" w:hAnsi="Arial"/>
          <w:sz w:val="17"/>
          <w:szCs w:val="17"/>
          <w:color w:val="auto"/>
        </w:rPr>
      </w:pPr>
    </w:p>
    <w:p>
      <w:pPr>
        <w:ind w:left="1300" w:right="180" w:hanging="644"/>
        <w:spacing w:after="0" w:line="277" w:lineRule="auto"/>
        <w:tabs>
          <w:tab w:leader="none" w:pos="13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2019, which have had or might reasonably be expected to have a Material Adverse Effect.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5"/>
          <w:szCs w:val="15"/>
          <w:b w:val="1"/>
          <w:bCs w:val="1"/>
          <w:color w:val="auto"/>
        </w:rPr>
        <w:t>No proceedings pending or threatened</w:t>
      </w:r>
    </w:p>
    <w:p>
      <w:pPr>
        <w:spacing w:after="0" w:line="229" w:lineRule="exact"/>
        <w:rPr>
          <w:sz w:val="20"/>
          <w:szCs w:val="20"/>
          <w:color w:val="auto"/>
        </w:rPr>
      </w:pPr>
    </w:p>
    <w:p>
      <w:pPr>
        <w:ind w:left="1300" w:right="100" w:hanging="644"/>
        <w:spacing w:after="0" w:line="259" w:lineRule="auto"/>
        <w:tabs>
          <w:tab w:leader="none" w:pos="129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86" w:lineRule="exact"/>
        <w:rPr>
          <w:rFonts w:ascii="Arial" w:cs="Arial" w:eastAsia="Arial" w:hAnsi="Arial"/>
          <w:sz w:val="18"/>
          <w:szCs w:val="18"/>
          <w:color w:val="auto"/>
        </w:rPr>
      </w:pPr>
    </w:p>
    <w:p>
      <w:pPr>
        <w:jc w:val="both"/>
        <w:ind w:left="1300" w:right="160" w:hanging="644"/>
        <w:spacing w:after="0" w:line="286" w:lineRule="auto"/>
        <w:tabs>
          <w:tab w:leader="none" w:pos="1307" w:val="left"/>
        </w:tabs>
        <w:numPr>
          <w:ilvl w:val="0"/>
          <w:numId w:val="327"/>
        </w:numPr>
        <w:rPr>
          <w:rFonts w:ascii="Arial" w:cs="Arial" w:eastAsia="Arial" w:hAnsi="Arial"/>
          <w:sz w:val="17"/>
          <w:szCs w:val="17"/>
          <w:color w:val="auto"/>
        </w:rPr>
      </w:pPr>
      <w:r>
        <w:rPr>
          <w:rFonts w:ascii="Arial" w:cs="Arial" w:eastAsia="Arial" w:hAnsi="Arial"/>
          <w:sz w:val="17"/>
          <w:szCs w:val="17"/>
          <w:color w:val="auto"/>
        </w:rPr>
        <w:t>No judgement or order of a court, arbitral tribunal or other tribunal or any order of any governmental or other regulatory body which is reasonably likely to have a Material Adverse Effect has (to the best of any Obligor’s or Manager’s knowledge and belief (having made due and careful enquiry)) been made against any Obligor or any Manager or any Subsidiary of an Obligor.</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6"/>
          <w:szCs w:val="16"/>
          <w:b w:val="1"/>
          <w:bCs w:val="1"/>
          <w:color w:val="auto"/>
        </w:rPr>
        <w:t>No breach of laws</w:t>
      </w:r>
    </w:p>
    <w:p>
      <w:pPr>
        <w:spacing w:after="0" w:line="229" w:lineRule="exact"/>
        <w:rPr>
          <w:sz w:val="20"/>
          <w:szCs w:val="20"/>
          <w:color w:val="auto"/>
        </w:rPr>
      </w:pPr>
    </w:p>
    <w:p>
      <w:pPr>
        <w:ind w:left="1300" w:hanging="644"/>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Obligor or Manager or Subsidiary of an Obligor or a Manager has breached any law or regulation.</w:t>
      </w:r>
    </w:p>
    <w:p>
      <w:pPr>
        <w:spacing w:after="0" w:line="225" w:lineRule="exact"/>
        <w:rPr>
          <w:rFonts w:ascii="Arial" w:cs="Arial" w:eastAsia="Arial" w:hAnsi="Arial"/>
          <w:sz w:val="18"/>
          <w:szCs w:val="18"/>
          <w:color w:val="auto"/>
        </w:rPr>
      </w:pPr>
    </w:p>
    <w:p>
      <w:pPr>
        <w:ind w:left="1300" w:right="40" w:hanging="644"/>
        <w:spacing w:after="0" w:line="263" w:lineRule="auto"/>
        <w:tabs>
          <w:tab w:leader="none" w:pos="13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07" w:name="page308"/>
    <w:bookmarkEnd w:id="307"/>
    <w:p>
      <w:pPr>
        <w:spacing w:after="0"/>
        <w:tabs>
          <w:tab w:leader="none" w:pos="620" w:val="left"/>
        </w:tabs>
        <w:rPr>
          <w:sz w:val="20"/>
          <w:szCs w:val="20"/>
          <w:color w:val="auto"/>
        </w:rPr>
      </w:pPr>
      <w:r>
        <w:rPr>
          <w:rFonts w:ascii="Arial" w:cs="Arial" w:eastAsia="Arial" w:hAnsi="Arial"/>
          <w:sz w:val="18"/>
          <w:szCs w:val="18"/>
          <w:b w:val="1"/>
          <w:bCs w:val="1"/>
          <w:color w:val="auto"/>
        </w:rPr>
        <w:t>18.17</w:t>
      </w:r>
      <w:r>
        <w:rPr>
          <w:sz w:val="20"/>
          <w:szCs w:val="20"/>
          <w:color w:val="auto"/>
        </w:rPr>
        <w:tab/>
      </w:r>
      <w:r>
        <w:rPr>
          <w:rFonts w:ascii="Arial" w:cs="Arial" w:eastAsia="Arial" w:hAnsi="Arial"/>
          <w:sz w:val="16"/>
          <w:szCs w:val="16"/>
          <w:b w:val="1"/>
          <w:bCs w:val="1"/>
          <w:color w:val="auto"/>
        </w:rPr>
        <w:t>Environmental matters</w:t>
      </w:r>
    </w:p>
    <w:p>
      <w:pPr>
        <w:spacing w:after="0" w:line="229" w:lineRule="exact"/>
        <w:rPr>
          <w:sz w:val="20"/>
          <w:szCs w:val="20"/>
          <w:color w:val="auto"/>
        </w:rPr>
      </w:pPr>
    </w:p>
    <w:p>
      <w:pPr>
        <w:ind w:left="1300" w:right="460" w:hanging="644"/>
        <w:spacing w:after="0" w:line="308" w:lineRule="auto"/>
        <w:tabs>
          <w:tab w:leader="none" w:pos="1297" w:val="left"/>
        </w:tabs>
        <w:numPr>
          <w:ilvl w:val="0"/>
          <w:numId w:val="329"/>
        </w:numPr>
        <w:rPr>
          <w:rFonts w:ascii="Arial" w:cs="Arial" w:eastAsia="Arial" w:hAnsi="Arial"/>
          <w:sz w:val="17"/>
          <w:szCs w:val="17"/>
          <w:color w:val="auto"/>
        </w:rPr>
      </w:pPr>
      <w:r>
        <w:rPr>
          <w:rFonts w:ascii="Arial" w:cs="Arial" w:eastAsia="Arial" w:hAnsi="Arial"/>
          <w:sz w:val="17"/>
          <w:szCs w:val="17"/>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All consents, licences and approvals required under such Environmental Laws have been obtained and are currently in force.</w:t>
      </w:r>
    </w:p>
    <w:p>
      <w:pPr>
        <w:spacing w:after="0" w:line="236" w:lineRule="exact"/>
        <w:rPr>
          <w:rFonts w:ascii="Arial" w:cs="Arial" w:eastAsia="Arial" w:hAnsi="Arial"/>
          <w:sz w:val="17"/>
          <w:szCs w:val="17"/>
          <w:color w:val="auto"/>
        </w:rPr>
      </w:pPr>
    </w:p>
    <w:p>
      <w:pPr>
        <w:ind w:left="1300" w:right="140" w:hanging="644"/>
        <w:spacing w:after="0" w:line="263" w:lineRule="auto"/>
        <w:tabs>
          <w:tab w:leader="none" w:pos="131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18.18</w:t>
      </w:r>
      <w:r>
        <w:rPr>
          <w:sz w:val="20"/>
          <w:szCs w:val="20"/>
          <w:color w:val="auto"/>
        </w:rPr>
        <w:tab/>
      </w:r>
      <w:r>
        <w:rPr>
          <w:rFonts w:ascii="Arial" w:cs="Arial" w:eastAsia="Arial" w:hAnsi="Arial"/>
          <w:sz w:val="15"/>
          <w:szCs w:val="15"/>
          <w:b w:val="1"/>
          <w:bCs w:val="1"/>
          <w:color w:val="auto"/>
        </w:rPr>
        <w:t>Tax compliance</w:t>
      </w:r>
    </w:p>
    <w:p>
      <w:pPr>
        <w:spacing w:after="0" w:line="229" w:lineRule="exact"/>
        <w:rPr>
          <w:sz w:val="20"/>
          <w:szCs w:val="20"/>
          <w:color w:val="auto"/>
        </w:rPr>
      </w:pPr>
    </w:p>
    <w:p>
      <w:pPr>
        <w:jc w:val="both"/>
        <w:ind w:left="1300" w:right="140" w:hanging="644"/>
        <w:spacing w:after="0" w:line="311" w:lineRule="auto"/>
        <w:tabs>
          <w:tab w:leader="none" w:pos="1297"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 Obligor or Manager or any Subsidiary of an Obligor is materially overdue in the filing of any Tax returns or overdue in the payment of any amount in respect of Tax, unless and to the extent that such payment is being contested in good faith, adequate reserves are being maintained for those Taxes and the costs required to contest them and such payment is being lawfully withheld.</w:t>
      </w:r>
    </w:p>
    <w:p>
      <w:pPr>
        <w:spacing w:after="0" w:line="148" w:lineRule="exact"/>
        <w:rPr>
          <w:rFonts w:ascii="Arial" w:cs="Arial" w:eastAsia="Arial" w:hAnsi="Arial"/>
          <w:sz w:val="16"/>
          <w:szCs w:val="16"/>
          <w:color w:val="auto"/>
        </w:rPr>
      </w:pPr>
    </w:p>
    <w:p>
      <w:pPr>
        <w:ind w:left="1300" w:right="20" w:hanging="644"/>
        <w:spacing w:after="0" w:line="259" w:lineRule="auto"/>
        <w:tabs>
          <w:tab w:leader="none" w:pos="130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86" w:lineRule="exact"/>
        <w:rPr>
          <w:rFonts w:ascii="Arial" w:cs="Arial" w:eastAsia="Arial" w:hAnsi="Arial"/>
          <w:sz w:val="18"/>
          <w:szCs w:val="18"/>
          <w:color w:val="auto"/>
        </w:rPr>
      </w:pPr>
    </w:p>
    <w:p>
      <w:pPr>
        <w:ind w:left="1300" w:hanging="644"/>
        <w:spacing w:after="0" w:line="277" w:lineRule="auto"/>
        <w:tabs>
          <w:tab w:leader="none" w:pos="131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18.19</w:t>
      </w:r>
      <w:r>
        <w:rPr>
          <w:sz w:val="20"/>
          <w:szCs w:val="20"/>
          <w:color w:val="auto"/>
        </w:rPr>
        <w:tab/>
      </w:r>
      <w:r>
        <w:rPr>
          <w:rFonts w:ascii="Arial" w:cs="Arial" w:eastAsia="Arial" w:hAnsi="Arial"/>
          <w:sz w:val="16"/>
          <w:szCs w:val="16"/>
          <w:b w:val="1"/>
          <w:bCs w:val="1"/>
          <w:color w:val="auto"/>
        </w:rPr>
        <w:t>Anti-corruption law</w:t>
      </w:r>
    </w:p>
    <w:p>
      <w:pPr>
        <w:spacing w:after="0" w:line="229"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18.20</w:t>
      </w:r>
      <w:r>
        <w:rPr>
          <w:sz w:val="20"/>
          <w:szCs w:val="20"/>
          <w:color w:val="auto"/>
        </w:rPr>
        <w:tab/>
      </w:r>
      <w:r>
        <w:rPr>
          <w:rFonts w:ascii="Arial" w:cs="Arial" w:eastAsia="Arial" w:hAnsi="Arial"/>
          <w:sz w:val="16"/>
          <w:szCs w:val="16"/>
          <w:b w:val="1"/>
          <w:bCs w:val="1"/>
          <w:color w:val="auto"/>
        </w:rPr>
        <w:t>Security and Financial Indebtedness</w:t>
      </w:r>
    </w:p>
    <w:p>
      <w:pPr>
        <w:spacing w:after="0" w:line="229" w:lineRule="exact"/>
        <w:rPr>
          <w:sz w:val="20"/>
          <w:szCs w:val="20"/>
          <w:color w:val="auto"/>
        </w:rPr>
      </w:pPr>
    </w:p>
    <w:p>
      <w:pPr>
        <w:ind w:left="1300" w:right="720" w:hanging="644"/>
        <w:spacing w:after="0" w:line="277" w:lineRule="auto"/>
        <w:tabs>
          <w:tab w:leader="none" w:pos="129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the Borrower in breach of this Agreement, other than Permitted Security Interests.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Borrower does not have any Financial Indebtedness outstanding in breach of this Agreement.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18.21</w:t>
      </w:r>
      <w:r>
        <w:rPr>
          <w:sz w:val="20"/>
          <w:szCs w:val="20"/>
          <w:color w:val="auto"/>
        </w:rPr>
        <w:tab/>
      </w:r>
      <w:r>
        <w:rPr>
          <w:rFonts w:ascii="Arial" w:cs="Arial" w:eastAsia="Arial" w:hAnsi="Arial"/>
          <w:sz w:val="15"/>
          <w:szCs w:val="15"/>
          <w:b w:val="1"/>
          <w:bCs w:val="1"/>
          <w:color w:val="auto"/>
        </w:rPr>
        <w:t>Ownership of assets and shares</w:t>
      </w:r>
    </w:p>
    <w:p>
      <w:pPr>
        <w:spacing w:after="0" w:line="229" w:lineRule="exact"/>
        <w:rPr>
          <w:sz w:val="20"/>
          <w:szCs w:val="20"/>
          <w:color w:val="auto"/>
        </w:rPr>
      </w:pPr>
    </w:p>
    <w:p>
      <w:pPr>
        <w:ind w:left="1300" w:hanging="644"/>
        <w:spacing w:after="0"/>
        <w:tabs>
          <w:tab w:leader="none" w:pos="13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Ownership of assets</w:t>
      </w:r>
    </w:p>
    <w:p>
      <w:pPr>
        <w:spacing w:after="0" w:line="225" w:lineRule="exact"/>
        <w:rPr>
          <w:rFonts w:ascii="Arial" w:cs="Arial" w:eastAsia="Arial" w:hAnsi="Arial"/>
          <w:sz w:val="18"/>
          <w:szCs w:val="18"/>
          <w:color w:val="auto"/>
        </w:rPr>
      </w:pPr>
    </w:p>
    <w:p>
      <w:pPr>
        <w:ind w:left="1300" w:right="100"/>
        <w:spacing w:after="0" w:line="342" w:lineRule="auto"/>
        <w:rPr>
          <w:rFonts w:ascii="Arial" w:cs="Arial" w:eastAsia="Arial" w:hAnsi="Arial"/>
          <w:sz w:val="18"/>
          <w:szCs w:val="18"/>
          <w:color w:val="auto"/>
        </w:rPr>
      </w:pPr>
      <w:r>
        <w:rPr>
          <w:rFonts w:ascii="Arial" w:cs="Arial" w:eastAsia="Arial" w:hAnsi="Arial"/>
          <w:sz w:val="16"/>
          <w:szCs w:val="16"/>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23" w:lineRule="exact"/>
        <w:rPr>
          <w:rFonts w:ascii="Arial" w:cs="Arial" w:eastAsia="Arial" w:hAnsi="Arial"/>
          <w:sz w:val="18"/>
          <w:szCs w:val="18"/>
          <w:color w:val="auto"/>
        </w:rPr>
      </w:pPr>
    </w:p>
    <w:p>
      <w:pPr>
        <w:ind w:left="1320" w:hanging="664"/>
        <w:spacing w:after="0"/>
        <w:tabs>
          <w:tab w:leader="none" w:pos="13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Ownership of shares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Borrower is a wholly-owned direct Subsidiary of GasLog Carriers;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8" w:name="page309"/>
    <w:bookmarkEnd w:id="308"/>
    <w:p>
      <w:pPr>
        <w:ind w:left="1980" w:hanging="676"/>
        <w:spacing w:after="0"/>
        <w:tabs>
          <w:tab w:leader="none" w:pos="1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GasLog Carriers is a wholly-owned direct Subsidiary of the Parent; and</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2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person referred to in the definition of the Permitted Holders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has the right and the ability to control the affairs and composition of the majority of the board of directors of the Parent;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18.22</w:t>
      </w:r>
      <w:r>
        <w:rPr>
          <w:sz w:val="20"/>
          <w:szCs w:val="20"/>
          <w:color w:val="auto"/>
        </w:rPr>
        <w:tab/>
      </w:r>
      <w:r>
        <w:rPr>
          <w:rFonts w:ascii="Arial" w:cs="Arial" w:eastAsia="Arial" w:hAnsi="Arial"/>
          <w:sz w:val="15"/>
          <w:szCs w:val="15"/>
          <w:b w:val="1"/>
          <w:bCs w:val="1"/>
          <w:color w:val="auto"/>
        </w:rPr>
        <w:t>Shares</w:t>
      </w:r>
    </w:p>
    <w:p>
      <w:pPr>
        <w:spacing w:after="0" w:line="22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shares of the Borrower are fully paid and not subject to any option to purchase or similar rights. The Constitutional Documents of the Borrower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the Borrower (including any option or right of pre-emption or conversion).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18.23</w:t>
      </w:r>
      <w:r>
        <w:rPr>
          <w:sz w:val="20"/>
          <w:szCs w:val="20"/>
          <w:color w:val="auto"/>
        </w:rPr>
        <w:tab/>
      </w:r>
      <w:r>
        <w:rPr>
          <w:rFonts w:ascii="Arial" w:cs="Arial" w:eastAsia="Arial" w:hAnsi="Arial"/>
          <w:sz w:val="16"/>
          <w:szCs w:val="16"/>
          <w:b w:val="1"/>
          <w:bCs w:val="1"/>
          <w:color w:val="auto"/>
        </w:rPr>
        <w:t>Accounting Reference 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18.24</w:t>
      </w:r>
      <w:r>
        <w:rPr>
          <w:sz w:val="20"/>
          <w:szCs w:val="20"/>
          <w:color w:val="auto"/>
        </w:rPr>
        <w:tab/>
      </w:r>
      <w:r>
        <w:rPr>
          <w:rFonts w:ascii="Arial" w:cs="Arial" w:eastAsia="Arial" w:hAnsi="Arial"/>
          <w:sz w:val="15"/>
          <w:szCs w:val="15"/>
          <w:b w:val="1"/>
          <w:bCs w:val="1"/>
          <w:color w:val="auto"/>
        </w:rPr>
        <w:t>No adverse consequences</w:t>
      </w:r>
    </w:p>
    <w:p>
      <w:pPr>
        <w:spacing w:after="0" w:line="229" w:lineRule="exact"/>
        <w:rPr>
          <w:sz w:val="20"/>
          <w:szCs w:val="20"/>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91" w:val="left"/>
        </w:tabs>
        <w:numPr>
          <w:ilvl w:val="1"/>
          <w:numId w:val="334"/>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that any Finance Party should be licensed, qualified or otherwise entitled to carry on business in any of such Relevant Jurisdictions.</w:t>
      </w:r>
    </w:p>
    <w:p>
      <w:pPr>
        <w:spacing w:after="0" w:line="237" w:lineRule="exact"/>
        <w:rPr>
          <w:sz w:val="20"/>
          <w:szCs w:val="20"/>
          <w:color w:val="auto"/>
        </w:rPr>
      </w:pPr>
    </w:p>
    <w:p>
      <w:pPr>
        <w:ind w:left="1300" w:hanging="644"/>
        <w:spacing w:after="0" w:line="277" w:lineRule="auto"/>
        <w:tabs>
          <w:tab w:leader="none" w:pos="130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18.25</w:t>
      </w:r>
      <w:r>
        <w:rPr>
          <w:sz w:val="20"/>
          <w:szCs w:val="20"/>
          <w:color w:val="auto"/>
        </w:rPr>
        <w:tab/>
      </w:r>
      <w:r>
        <w:rPr>
          <w:rFonts w:ascii="Arial" w:cs="Arial" w:eastAsia="Arial" w:hAnsi="Arial"/>
          <w:sz w:val="15"/>
          <w:szCs w:val="15"/>
          <w:b w:val="1"/>
          <w:bCs w:val="1"/>
          <w:color w:val="auto"/>
        </w:rPr>
        <w:t>Copies of documents</w:t>
      </w:r>
    </w:p>
    <w:p>
      <w:pPr>
        <w:spacing w:after="0" w:line="229"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w:t>
      </w:r>
      <w:r>
        <w:rPr>
          <w:rFonts w:ascii="Arial" w:cs="Arial" w:eastAsia="Arial" w:hAnsi="Arial"/>
          <w:sz w:val="18"/>
          <w:szCs w:val="18"/>
          <w:color w:val="auto"/>
        </w:rPr>
        <w:t>) will, as at their delivery dates, be true, complete and accurate copies of such documents and include all amendments and supplements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18.26</w:t>
      </w:r>
      <w:r>
        <w:rPr>
          <w:sz w:val="20"/>
          <w:szCs w:val="20"/>
          <w:color w:val="auto"/>
        </w:rPr>
        <w:tab/>
      </w:r>
      <w:r>
        <w:rPr>
          <w:rFonts w:ascii="Arial" w:cs="Arial" w:eastAsia="Arial" w:hAnsi="Arial"/>
          <w:sz w:val="16"/>
          <w:szCs w:val="16"/>
          <w:b w:val="1"/>
          <w:bCs w:val="1"/>
          <w:color w:val="auto"/>
        </w:rPr>
        <w:t>No breach of any Charter Document</w:t>
      </w:r>
    </w:p>
    <w:p>
      <w:pPr>
        <w:spacing w:after="0" w:line="229" w:lineRule="exact"/>
        <w:rPr>
          <w:sz w:val="20"/>
          <w:szCs w:val="20"/>
          <w:color w:val="auto"/>
        </w:rPr>
      </w:pPr>
    </w:p>
    <w:p>
      <w:pPr>
        <w:ind w:left="1300" w:hanging="644"/>
        <w:spacing w:after="0"/>
        <w:tabs>
          <w:tab w:leader="none" w:pos="130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No Obligor nor (so far as the Obligors are aware) any other person is in breach of any Charter Document to which it is a party.</w:t>
      </w:r>
    </w:p>
    <w:p>
      <w:pPr>
        <w:spacing w:after="0" w:line="236" w:lineRule="exact"/>
        <w:rPr>
          <w:rFonts w:ascii="Arial" w:cs="Arial" w:eastAsia="Arial" w:hAnsi="Arial"/>
          <w:sz w:val="17"/>
          <w:szCs w:val="17"/>
          <w:color w:val="auto"/>
        </w:rPr>
      </w:pPr>
    </w:p>
    <w:p>
      <w:pPr>
        <w:ind w:left="1300" w:right="320" w:hanging="644"/>
        <w:spacing w:after="0" w:line="277" w:lineRule="auto"/>
        <w:tabs>
          <w:tab w:leader="none" w:pos="130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Nothing has occurred which entitles or may entitle any party to any Charter Document to rescind or terminate it or decline to perform their obligations under it or which would render it illegal, invalid or unforceable.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18.27</w:t>
      </w:r>
      <w:r>
        <w:rPr>
          <w:sz w:val="20"/>
          <w:szCs w:val="20"/>
          <w:color w:val="auto"/>
        </w:rPr>
        <w:tab/>
      </w:r>
      <w:r>
        <w:rPr>
          <w:rFonts w:ascii="Arial" w:cs="Arial" w:eastAsia="Arial" w:hAnsi="Arial"/>
          <w:sz w:val="16"/>
          <w:szCs w:val="16"/>
          <w:b w:val="1"/>
          <w:bCs w:val="1"/>
          <w:color w:val="auto"/>
        </w:rPr>
        <w:t>No immunity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9" w:name="page310"/>
    <w:bookmarkEnd w:id="309"/>
    <w:p>
      <w:pPr>
        <w:spacing w:after="0"/>
        <w:tabs>
          <w:tab w:leader="none" w:pos="620" w:val="left"/>
        </w:tabs>
        <w:rPr>
          <w:sz w:val="20"/>
          <w:szCs w:val="20"/>
          <w:color w:val="auto"/>
        </w:rPr>
      </w:pPr>
      <w:r>
        <w:rPr>
          <w:rFonts w:ascii="Arial" w:cs="Arial" w:eastAsia="Arial" w:hAnsi="Arial"/>
          <w:sz w:val="18"/>
          <w:szCs w:val="18"/>
          <w:b w:val="1"/>
          <w:bCs w:val="1"/>
          <w:color w:val="auto"/>
        </w:rPr>
        <w:t>18.28</w:t>
      </w:r>
      <w:r>
        <w:rPr>
          <w:sz w:val="20"/>
          <w:szCs w:val="20"/>
          <w:color w:val="auto"/>
        </w:rPr>
        <w:tab/>
      </w:r>
      <w:r>
        <w:rPr>
          <w:rFonts w:ascii="Arial" w:cs="Arial" w:eastAsia="Arial" w:hAnsi="Arial"/>
          <w:sz w:val="15"/>
          <w:szCs w:val="15"/>
          <w:b w:val="1"/>
          <w:bCs w:val="1"/>
          <w:color w:val="auto"/>
        </w:rPr>
        <w:t>Ship status</w:t>
      </w:r>
    </w:p>
    <w:p>
      <w:pPr>
        <w:spacing w:after="0" w:line="229" w:lineRule="exact"/>
        <w:rPr>
          <w:sz w:val="20"/>
          <w:szCs w:val="20"/>
          <w:color w:val="auto"/>
        </w:rPr>
      </w:pPr>
    </w:p>
    <w:p>
      <w:pPr>
        <w:ind w:left="1300" w:hanging="644"/>
        <w:spacing w:after="0"/>
        <w:tabs>
          <w:tab w:leader="none" w:pos="1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Ship will on the first day of the Mortgage Period be:</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registered in the name of the Borrower through the relevant Registry as a registered ship under the laws and flag of the relevant Flag State;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18.29</w:t>
      </w:r>
      <w:r>
        <w:rPr>
          <w:sz w:val="20"/>
          <w:szCs w:val="20"/>
          <w:color w:val="auto"/>
        </w:rPr>
        <w:tab/>
      </w:r>
      <w:r>
        <w:rPr>
          <w:rFonts w:ascii="Arial" w:cs="Arial" w:eastAsia="Arial" w:hAnsi="Arial"/>
          <w:sz w:val="16"/>
          <w:szCs w:val="16"/>
          <w:b w:val="1"/>
          <w:bCs w:val="1"/>
          <w:color w:val="auto"/>
        </w:rPr>
        <w:t>Ship’s employment</w:t>
      </w:r>
    </w:p>
    <w:p>
      <w:pPr>
        <w:spacing w:after="0" w:line="22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On the first day of its Mortgage Period the Ship is free of any charter commitment which, if entered into after that date, would require approval under the Finance Documents.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18.30</w:t>
      </w:r>
      <w:r>
        <w:rPr>
          <w:sz w:val="20"/>
          <w:szCs w:val="20"/>
          <w:color w:val="auto"/>
        </w:rPr>
        <w:tab/>
      </w:r>
      <w:r>
        <w:rPr>
          <w:rFonts w:ascii="Arial" w:cs="Arial" w:eastAsia="Arial" w:hAnsi="Arial"/>
          <w:sz w:val="15"/>
          <w:szCs w:val="15"/>
          <w:b w:val="1"/>
          <w:bCs w:val="1"/>
          <w:color w:val="auto"/>
        </w:rPr>
        <w:t>Address commission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rebates, commissions or other payments in connection with any Charter in place as at the date of this Agreement.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18.31</w:t>
      </w:r>
      <w:r>
        <w:rPr>
          <w:sz w:val="20"/>
          <w:szCs w:val="20"/>
          <w:color w:val="auto"/>
        </w:rPr>
        <w:tab/>
      </w:r>
      <w:r>
        <w:rPr>
          <w:rFonts w:ascii="Arial" w:cs="Arial" w:eastAsia="Arial" w:hAnsi="Arial"/>
          <w:sz w:val="16"/>
          <w:szCs w:val="16"/>
          <w:b w:val="1"/>
          <w:bCs w:val="1"/>
          <w:color w:val="auto"/>
        </w:rPr>
        <w:t>Money Laundering</w:t>
      </w:r>
    </w:p>
    <w:p>
      <w:pPr>
        <w:spacing w:after="0" w:line="22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In relation to the borrowing by the Borrower of the Loan, the performance and discharge of its obligations and liabilities under the Finance Documents, and the transactions and other arrangements effected or contemplated by the Finance Documents to which the Borrower is a party, the Borrower confirms (a) that it is acting for its own account; (b) that it will use the proceeds of the Loan for its own benefit, under its full responsibility and exclusively for the purposes specified in this Agreement and (c)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18.32</w:t>
      </w:r>
      <w:r>
        <w:rPr>
          <w:sz w:val="20"/>
          <w:szCs w:val="20"/>
          <w:color w:val="auto"/>
        </w:rPr>
        <w:tab/>
      </w:r>
      <w:r>
        <w:rPr>
          <w:rFonts w:ascii="Arial" w:cs="Arial" w:eastAsia="Arial" w:hAnsi="Arial"/>
          <w:sz w:val="15"/>
          <w:szCs w:val="15"/>
          <w:b w:val="1"/>
          <w:bCs w:val="1"/>
          <w:color w:val="auto"/>
        </w:rPr>
        <w:t>Sanctions</w:t>
      </w:r>
    </w:p>
    <w:p>
      <w:pPr>
        <w:spacing w:after="0" w:line="229" w:lineRule="exact"/>
        <w:rPr>
          <w:sz w:val="20"/>
          <w:szCs w:val="20"/>
          <w:color w:val="auto"/>
        </w:rPr>
      </w:pPr>
    </w:p>
    <w:p>
      <w:pPr>
        <w:ind w:left="1300" w:right="700" w:hanging="644"/>
        <w:spacing w:after="0" w:line="277" w:lineRule="auto"/>
        <w:tabs>
          <w:tab w:leader="none" w:pos="129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 Ship is a vessel with which any individual, entity or any other person is prohibited or restricted from dealing with under any Sanctions.</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Affiliates, nor any of their respective directors or officers (or in the case of paragraph (i) below, employees):</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9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ind w:left="1960" w:right="120" w:hanging="656"/>
        <w:spacing w:after="0" w:line="259" w:lineRule="auto"/>
        <w:tabs>
          <w:tab w:leader="none" w:pos="20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225" w:lineRule="exact"/>
        <w:rPr>
          <w:rFonts w:ascii="Arial" w:cs="Arial" w:eastAsia="Arial" w:hAnsi="Arial"/>
          <w:sz w:val="18"/>
          <w:szCs w:val="18"/>
          <w:color w:val="auto"/>
        </w:rPr>
      </w:pPr>
    </w:p>
    <w:p>
      <w:pPr>
        <w:ind w:left="1960" w:hanging="656"/>
        <w:spacing w:after="0" w:line="277" w:lineRule="auto"/>
        <w:tabs>
          <w:tab w:leader="none" w:pos="196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is located, domiciled or resident in, organised or incorporated under the laws of, a country or territory subject to country-wide or territory-wide Sanctions;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0" w:name="page311"/>
    <w:bookmarkEnd w:id="310"/>
    <w:p>
      <w:pPr>
        <w:ind w:left="1960" w:right="120" w:hanging="656"/>
        <w:spacing w:after="0" w:line="277" w:lineRule="auto"/>
        <w:tabs>
          <w:tab w:leader="none" w:pos="1986" w:val="left"/>
        </w:tabs>
        <w:numPr>
          <w:ilvl w:val="1"/>
          <w:numId w:val="339"/>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Any capitalised terms referred to in paragraphs (a) and (b) above shall have the meanings given to them in clause 21.11 (</w:t>
      </w:r>
      <w:r>
        <w:rPr>
          <w:rFonts w:ascii="Arial" w:cs="Arial" w:eastAsia="Arial" w:hAnsi="Arial"/>
          <w:sz w:val="16"/>
          <w:szCs w:val="16"/>
          <w:i w:val="1"/>
          <w:iCs w:val="1"/>
          <w:color w:val="auto"/>
        </w:rPr>
        <w:t>Sanctions</w:t>
      </w:r>
      <w:r>
        <w:rPr>
          <w:rFonts w:ascii="Arial" w:cs="Arial" w:eastAsia="Arial" w:hAnsi="Arial"/>
          <w:sz w:val="16"/>
          <w:szCs w:val="16"/>
          <w:color w:val="auto"/>
        </w:rPr>
        <w:t>).</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18.33</w:t>
      </w:r>
      <w:r>
        <w:rPr>
          <w:sz w:val="20"/>
          <w:szCs w:val="20"/>
          <w:color w:val="auto"/>
        </w:rPr>
        <w:tab/>
      </w:r>
      <w:r>
        <w:rPr>
          <w:rFonts w:ascii="Arial" w:cs="Arial" w:eastAsia="Arial" w:hAnsi="Arial"/>
          <w:sz w:val="15"/>
          <w:szCs w:val="15"/>
          <w:b w:val="1"/>
          <w:bCs w:val="1"/>
          <w:color w:val="auto"/>
        </w:rPr>
        <w:t>Times when representations are made</w:t>
      </w:r>
    </w:p>
    <w:p>
      <w:pPr>
        <w:spacing w:after="0" w:line="229" w:lineRule="exact"/>
        <w:rPr>
          <w:sz w:val="20"/>
          <w:szCs w:val="20"/>
          <w:color w:val="auto"/>
        </w:rPr>
      </w:pPr>
    </w:p>
    <w:p>
      <w:pPr>
        <w:ind w:left="1300" w:right="20" w:hanging="644"/>
        <w:spacing w:after="0" w:line="277" w:lineRule="auto"/>
        <w:tabs>
          <w:tab w:leader="none" w:pos="129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70" w:lineRule="exact"/>
        <w:rPr>
          <w:rFonts w:ascii="Arial" w:cs="Arial" w:eastAsia="Arial" w:hAnsi="Arial"/>
          <w:sz w:val="18"/>
          <w:szCs w:val="18"/>
          <w:color w:val="auto"/>
        </w:rPr>
      </w:pPr>
    </w:p>
    <w:p>
      <w:pPr>
        <w:ind w:left="1300" w:right="40" w:hanging="644"/>
        <w:spacing w:after="0" w:line="263" w:lineRule="auto"/>
        <w:tabs>
          <w:tab w:leader="none" w:pos="130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Facility.</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All of the Ship Representations are deemed to be made and repeated on the first day of the Mortgage Period for the relevant Ship.</w:t>
      </w:r>
    </w:p>
    <w:p>
      <w:pPr>
        <w:spacing w:after="0" w:line="236" w:lineRule="exact"/>
        <w:rPr>
          <w:rFonts w:ascii="Arial" w:cs="Arial" w:eastAsia="Arial" w:hAnsi="Arial"/>
          <w:sz w:val="17"/>
          <w:szCs w:val="17"/>
          <w:color w:val="auto"/>
        </w:rPr>
      </w:pPr>
    </w:p>
    <w:p>
      <w:pPr>
        <w:ind w:left="1300" w:right="560" w:hanging="644"/>
        <w:spacing w:after="0" w:line="342" w:lineRule="auto"/>
        <w:tabs>
          <w:tab w:leader="none" w:pos="130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Information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undertakes that this clause 19 will be complied with throughout the Facility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19:</w:t>
      </w:r>
    </w:p>
    <w:p>
      <w:pPr>
        <w:spacing w:after="0" w:line="221" w:lineRule="exact"/>
        <w:rPr>
          <w:sz w:val="20"/>
          <w:szCs w:val="20"/>
          <w:color w:val="auto"/>
        </w:rPr>
      </w:pPr>
    </w:p>
    <w:p>
      <w:pPr>
        <w:ind w:left="660" w:right="580"/>
        <w:spacing w:after="0" w:line="282" w:lineRule="auto"/>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Borrower and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ind w:left="660" w:right="580"/>
        <w:spacing w:after="0" w:line="282"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respectively,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1300" w:right="80" w:hanging="644"/>
        <w:spacing w:after="0" w:line="342" w:lineRule="auto"/>
        <w:tabs>
          <w:tab w:leader="none" w:pos="129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Borrower shall supply to the Agent or, as the case may be, shall procure that the Agent is supplied with (and the Agent shall supply to each Lender), as soon as the same become available, but in any event within 150 days after the end of each financial year:</w:t>
      </w:r>
    </w:p>
    <w:p>
      <w:pPr>
        <w:spacing w:after="0" w:line="123" w:lineRule="exact"/>
        <w:rPr>
          <w:rFonts w:ascii="Arial" w:cs="Arial" w:eastAsia="Arial" w:hAnsi="Arial"/>
          <w:sz w:val="16"/>
          <w:szCs w:val="16"/>
          <w:color w:val="auto"/>
        </w:rPr>
      </w:pPr>
    </w:p>
    <w:p>
      <w:pPr>
        <w:ind w:left="1980" w:hanging="676"/>
        <w:spacing w:after="0"/>
        <w:tabs>
          <w:tab w:leader="none" w:pos="19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Parent for that financial year; and</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unaudited financial statements (consolidated if appropriate) of the Borrower and GasLog Carriers for that financial year.</w:t>
      </w:r>
    </w:p>
    <w:p>
      <w:pPr>
        <w:spacing w:after="0" w:line="248" w:lineRule="exact"/>
        <w:rPr>
          <w:rFonts w:ascii="Arial" w:cs="Arial" w:eastAsia="Arial" w:hAnsi="Arial"/>
          <w:sz w:val="16"/>
          <w:szCs w:val="16"/>
          <w:color w:val="auto"/>
        </w:rPr>
      </w:pPr>
    </w:p>
    <w:p>
      <w:pPr>
        <w:ind w:left="1300" w:hanging="644"/>
        <w:spacing w:after="0" w:line="263" w:lineRule="auto"/>
        <w:tabs>
          <w:tab w:leader="none" w:pos="130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Borrower shall supply to the Agent or, as the case may be, shall procure that the Agent is supplied with, as soon as the same become available, but in any event within 120 days after the end of each half year to 30 June of each financial year, the unaudited consolidated financial statements of the Parent and GasLog Carriers for that financial half year.</w:t>
      </w:r>
    </w:p>
    <w:p>
      <w:pPr>
        <w:spacing w:after="0" w:line="183" w:lineRule="exact"/>
        <w:rPr>
          <w:rFonts w:ascii="Arial" w:cs="Arial" w:eastAsia="Arial" w:hAnsi="Arial"/>
          <w:sz w:val="18"/>
          <w:szCs w:val="18"/>
          <w:color w:val="auto"/>
        </w:rPr>
      </w:pPr>
    </w:p>
    <w:p>
      <w:pPr>
        <w:ind w:left="1300" w:right="460" w:hanging="644"/>
        <w:spacing w:after="0" w:line="277" w:lineRule="auto"/>
        <w:tabs>
          <w:tab w:leader="none" w:pos="131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Borrower shall also supply to the Agent prior to each financial year budget and cashflow projections for the Borrower and the Guarantors for that financial year.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11" w:name="page312"/>
    <w:bookmarkEnd w:id="311"/>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Provision and contents of Compliance Certificate and valuations</w:t>
      </w:r>
    </w:p>
    <w:p>
      <w:pPr>
        <w:spacing w:after="0" w:line="229" w:lineRule="exact"/>
        <w:rPr>
          <w:sz w:val="20"/>
          <w:szCs w:val="20"/>
          <w:color w:val="auto"/>
        </w:rPr>
      </w:pPr>
    </w:p>
    <w:p>
      <w:pPr>
        <w:ind w:left="1300" w:hanging="644"/>
        <w:spacing w:after="0"/>
        <w:tabs>
          <w:tab w:leader="none" w:pos="13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Borrower shall supply to the Agent (and the Agent shall supply to each Lender):</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8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a Compliance Certificate;</w:t>
      </w:r>
    </w:p>
    <w:p>
      <w:pPr>
        <w:spacing w:after="0" w:line="170" w:lineRule="exact"/>
        <w:rPr>
          <w:rFonts w:ascii="Arial" w:cs="Arial" w:eastAsia="Arial" w:hAnsi="Arial"/>
          <w:sz w:val="18"/>
          <w:szCs w:val="18"/>
          <w:color w:val="auto"/>
        </w:rPr>
      </w:pPr>
    </w:p>
    <w:p>
      <w:pPr>
        <w:ind w:left="1960" w:right="60" w:hanging="656"/>
        <w:spacing w:after="0" w:line="296" w:lineRule="auto"/>
        <w:tabs>
          <w:tab w:leader="none" w:pos="1991" w:val="left"/>
        </w:tabs>
        <w:numPr>
          <w:ilvl w:val="1"/>
          <w:numId w:val="343"/>
        </w:numPr>
        <w:rPr>
          <w:rFonts w:ascii="Arial" w:cs="Arial" w:eastAsia="Arial" w:hAnsi="Arial"/>
          <w:sz w:val="16"/>
          <w:szCs w:val="16"/>
          <w:color w:val="auto"/>
        </w:rPr>
      </w:pPr>
      <w:r>
        <w:rPr>
          <w:rFonts w:ascii="Arial" w:cs="Arial" w:eastAsia="Arial" w:hAnsi="Arial"/>
          <w:sz w:val="16"/>
          <w:szCs w:val="16"/>
          <w:color w:val="auto"/>
        </w:rPr>
        <w:t>with each set of audited Annual Financial Statements for the Group and unaudited Semi-Annual Financial Statements for the Group, a valuation of each Fleet Vessel (including the Ship) made in accordance with clause 25 (</w:t>
      </w:r>
      <w:r>
        <w:rPr>
          <w:rFonts w:ascii="Arial" w:cs="Arial" w:eastAsia="Arial" w:hAnsi="Arial"/>
          <w:sz w:val="16"/>
          <w:szCs w:val="16"/>
          <w:i w:val="1"/>
          <w:iCs w:val="1"/>
          <w:color w:val="auto"/>
        </w:rPr>
        <w:t>Minimum security value</w:t>
      </w:r>
      <w:r>
        <w:rPr>
          <w:rFonts w:ascii="Arial" w:cs="Arial" w:eastAsia="Arial" w:hAnsi="Arial"/>
          <w:sz w:val="16"/>
          <w:szCs w:val="16"/>
          <w:color w:val="auto"/>
        </w:rPr>
        <w:t>) at the cost and expense of the Obligors and showing the value of each such Fleet Vessel as of the date of the relevant financial statements to which they relate (and for such purposes, the provisions of such clause 25 (</w:t>
      </w:r>
      <w:r>
        <w:rPr>
          <w:rFonts w:ascii="Arial" w:cs="Arial" w:eastAsia="Arial" w:hAnsi="Arial"/>
          <w:sz w:val="16"/>
          <w:szCs w:val="16"/>
          <w:i w:val="1"/>
          <w:iCs w:val="1"/>
          <w:color w:val="auto"/>
        </w:rPr>
        <w:t>Minimum security value</w:t>
      </w:r>
      <w:r>
        <w:rPr>
          <w:rFonts w:ascii="Arial" w:cs="Arial" w:eastAsia="Arial" w:hAnsi="Arial"/>
          <w:sz w:val="16"/>
          <w:szCs w:val="16"/>
          <w:color w:val="auto"/>
        </w:rPr>
        <w:t>) shall apply to each such Fleet Vessel and this paragraph 19.2(a)(ii) mutatis mutandis as if each such Fleet Vessel was the Ship.</w:t>
      </w:r>
    </w:p>
    <w:p>
      <w:pPr>
        <w:spacing w:after="0" w:line="161" w:lineRule="exact"/>
        <w:rPr>
          <w:rFonts w:ascii="Arial" w:cs="Arial" w:eastAsia="Arial" w:hAnsi="Arial"/>
          <w:sz w:val="16"/>
          <w:szCs w:val="16"/>
          <w:color w:val="auto"/>
        </w:rPr>
      </w:pPr>
    </w:p>
    <w:p>
      <w:pPr>
        <w:ind w:left="1300" w:right="260" w:hanging="644"/>
        <w:spacing w:after="0" w:line="277" w:lineRule="auto"/>
        <w:tabs>
          <w:tab w:leader="none" w:pos="130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1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executive officer or chief financial officer of the Parent or, in his or her absence, by any other duly authorised director of the Parent.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5"/>
          <w:szCs w:val="15"/>
          <w:b w:val="1"/>
          <w:bCs w:val="1"/>
          <w:color w:val="auto"/>
        </w:rPr>
        <w:t>Requirements as to financial statements</w:t>
      </w:r>
    </w:p>
    <w:p>
      <w:pPr>
        <w:spacing w:after="0" w:line="229" w:lineRule="exact"/>
        <w:rPr>
          <w:sz w:val="20"/>
          <w:szCs w:val="20"/>
          <w:color w:val="auto"/>
        </w:rPr>
      </w:pPr>
    </w:p>
    <w:p>
      <w:pPr>
        <w:ind w:left="1300" w:right="40" w:hanging="644"/>
        <w:spacing w:after="0" w:line="263" w:lineRule="auto"/>
        <w:tabs>
          <w:tab w:leader="none" w:pos="129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shall be audited by the Auditors.</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the case of the Parent, be prepared in accordance with GAAP;</w:t>
      </w:r>
    </w:p>
    <w:p>
      <w:pPr>
        <w:spacing w:after="0" w:line="225" w:lineRule="exact"/>
        <w:rPr>
          <w:rFonts w:ascii="Arial" w:cs="Arial" w:eastAsia="Arial" w:hAnsi="Arial"/>
          <w:sz w:val="18"/>
          <w:szCs w:val="18"/>
          <w:color w:val="auto"/>
        </w:rPr>
      </w:pPr>
    </w:p>
    <w:p>
      <w:pPr>
        <w:ind w:left="1960" w:right="20" w:hanging="656"/>
        <w:spacing w:after="0" w:line="263" w:lineRule="auto"/>
        <w:tabs>
          <w:tab w:leader="none" w:pos="199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present (in other cases), the financial condition and operations of the Group or (as the case may be) the relevant Obligor, as at the date as at which those financial statements were drawn up; and</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225" w:lineRule="exact"/>
        <w:rPr>
          <w:rFonts w:ascii="Arial" w:cs="Arial" w:eastAsia="Arial" w:hAnsi="Arial"/>
          <w:sz w:val="18"/>
          <w:szCs w:val="18"/>
          <w:color w:val="auto"/>
        </w:rPr>
      </w:pPr>
    </w:p>
    <w:p>
      <w:pPr>
        <w:ind w:left="1300" w:hanging="644"/>
        <w:spacing w:after="0" w:line="259" w:lineRule="auto"/>
        <w:tabs>
          <w:tab w:leader="none" w:pos="131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 notify the Agent that there has been a change in GAAP or the accounting practices and the Auditors deliver to the Agent:</w:t>
      </w:r>
    </w:p>
    <w:p>
      <w:pPr>
        <w:spacing w:after="0" w:line="186" w:lineRule="exact"/>
        <w:rPr>
          <w:rFonts w:ascii="Arial" w:cs="Arial" w:eastAsia="Arial" w:hAnsi="Arial"/>
          <w:sz w:val="18"/>
          <w:szCs w:val="18"/>
          <w:color w:val="auto"/>
        </w:rPr>
      </w:pPr>
    </w:p>
    <w:p>
      <w:pPr>
        <w:ind w:left="1960" w:right="160" w:hanging="656"/>
        <w:spacing w:after="0" w:line="277" w:lineRule="auto"/>
        <w:tabs>
          <w:tab w:leader="none" w:pos="198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70" w:lineRule="exact"/>
        <w:rPr>
          <w:rFonts w:ascii="Arial" w:cs="Arial" w:eastAsia="Arial" w:hAnsi="Arial"/>
          <w:sz w:val="18"/>
          <w:szCs w:val="18"/>
          <w:color w:val="auto"/>
        </w:rPr>
      </w:pPr>
    </w:p>
    <w:p>
      <w:pPr>
        <w:ind w:left="1960" w:right="220" w:hanging="656"/>
        <w:spacing w:after="0" w:line="286" w:lineRule="auto"/>
        <w:tabs>
          <w:tab w:leader="none" w:pos="1991" w:val="left"/>
        </w:tabs>
        <w:numPr>
          <w:ilvl w:val="1"/>
          <w:numId w:val="344"/>
        </w:numPr>
        <w:rPr>
          <w:rFonts w:ascii="Arial" w:cs="Arial" w:eastAsia="Arial" w:hAnsi="Arial"/>
          <w:sz w:val="17"/>
          <w:szCs w:val="17"/>
          <w:color w:val="auto"/>
        </w:rPr>
      </w:pPr>
      <w:r>
        <w:rPr>
          <w:rFonts w:ascii="Arial" w:cs="Arial" w:eastAsia="Arial" w:hAnsi="Arial"/>
          <w:sz w:val="17"/>
          <w:szCs w:val="17"/>
          <w:color w:val="auto"/>
        </w:rPr>
        <w:t>sufficient information, in form and substance as may be reasonably required by the Agent, to enable the Lenders to determine whether clause 20 (</w:t>
      </w:r>
      <w:r>
        <w:rPr>
          <w:rFonts w:ascii="Arial" w:cs="Arial" w:eastAsia="Arial" w:hAnsi="Arial"/>
          <w:sz w:val="17"/>
          <w:szCs w:val="17"/>
          <w:i w:val="1"/>
          <w:iCs w:val="1"/>
          <w:color w:val="auto"/>
        </w:rPr>
        <w:t>Financial covenants</w:t>
      </w:r>
      <w:r>
        <w:rPr>
          <w:rFonts w:ascii="Arial" w:cs="Arial" w:eastAsia="Arial" w:hAnsi="Arial"/>
          <w:sz w:val="17"/>
          <w:szCs w:val="17"/>
          <w:color w:val="auto"/>
        </w:rPr>
        <w:t>) has been complied with and to make an accurate comparison between the financial position indicated in those financial statements and the Original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2" w:name="page313"/>
    <w:bookmarkEnd w:id="312"/>
    <w:p>
      <w:pPr>
        <w:ind w:left="660" w:right="120"/>
        <w:spacing w:after="0" w:line="277"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Year-end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Borrower shall procure that each financial year-end of each Obligor falls on the Accounting Reference Date.</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Borrower shall procure that each accounting period ends on an accounting date.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Information: miscellaneous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(and the Agent shall supply to each Lender):</w:t>
      </w:r>
    </w:p>
    <w:p>
      <w:pPr>
        <w:spacing w:after="0" w:line="225" w:lineRule="exact"/>
        <w:rPr>
          <w:sz w:val="20"/>
          <w:szCs w:val="20"/>
          <w:color w:val="auto"/>
        </w:rPr>
      </w:pPr>
    </w:p>
    <w:p>
      <w:pPr>
        <w:ind w:left="1300" w:hanging="644"/>
        <w:spacing w:after="0" w:line="277" w:lineRule="auto"/>
        <w:tabs>
          <w:tab w:leader="none" w:pos="129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against the Borrower or the Ship; or</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91"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against any other Obligor or any Manager, which, if adversely determined, might reasonably be expected to have a Material Adverse Effect;</w:t>
      </w:r>
    </w:p>
    <w:p>
      <w:pPr>
        <w:spacing w:after="0" w:line="170" w:lineRule="exact"/>
        <w:rPr>
          <w:rFonts w:ascii="Arial" w:cs="Arial" w:eastAsia="Arial" w:hAnsi="Arial"/>
          <w:sz w:val="18"/>
          <w:szCs w:val="18"/>
          <w:color w:val="auto"/>
        </w:rPr>
      </w:pPr>
    </w:p>
    <w:p>
      <w:pPr>
        <w:ind w:left="1300" w:right="260" w:hanging="644"/>
        <w:spacing w:after="0" w:line="342" w:lineRule="auto"/>
        <w:tabs>
          <w:tab w:leader="none" w:pos="131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promptly upon becoming aware of them and to the extent permitted by law, the details of any claims, actions, suits, investigations or other proceedings relating to Sanctions which are pending against any Group Member or any Affiliate of them or any Fleet Vessel;</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1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 from time to time,</w:t>
      </w:r>
    </w:p>
    <w:p>
      <w:pPr>
        <w:spacing w:after="0" w:line="17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Default</w:t>
      </w:r>
    </w:p>
    <w:p>
      <w:pPr>
        <w:spacing w:after="0" w:line="229"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The Borrower shall, and they shall procure that the Obligors shall, notify the Agent (and the Agent shall notify each Lender) of any Default (and the steps, if any, being taken to remedy it) promptly upon any Obligor becoming aware of its occurrence (unless that Obligor is aware that a notification has already been provided by another Obligor).</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5"/>
          <w:szCs w:val="15"/>
          <w:b w:val="1"/>
          <w:bCs w:val="1"/>
          <w:color w:val="auto"/>
        </w:rPr>
        <w:t>Sufficient copies</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Borrower, if so requested by the Agent, shall deliver sufficient copies of each document to be supplied under the Finance Documents to the Agent to distribute to each of the Lenders and the Hedging Providers.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5"/>
          <w:szCs w:val="15"/>
          <w:b w:val="1"/>
          <w:bCs w:val="1"/>
          <w:color w:val="auto"/>
        </w:rPr>
        <w:t>Use of websites</w:t>
      </w:r>
    </w:p>
    <w:p>
      <w:pPr>
        <w:spacing w:after="0" w:line="225" w:lineRule="exact"/>
        <w:rPr>
          <w:sz w:val="20"/>
          <w:szCs w:val="20"/>
          <w:color w:val="auto"/>
        </w:rPr>
      </w:pPr>
    </w:p>
    <w:p>
      <w:pPr>
        <w:ind w:left="1300" w:right="240" w:hanging="644"/>
        <w:spacing w:after="0" w:line="282" w:lineRule="auto"/>
        <w:tabs>
          <w:tab w:leader="none" w:pos="129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The Borrower may satisfy their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313" w:name="page314"/>
    <w:bookmarkEnd w:id="313"/>
    <w:p>
      <w:pPr>
        <w:ind w:left="1300" w:right="540"/>
        <w:spacing w:after="0" w:line="282" w:lineRule="auto"/>
        <w:rPr>
          <w:sz w:val="20"/>
          <w:szCs w:val="20"/>
          <w:color w:val="auto"/>
        </w:rPr>
      </w:pPr>
      <w:r>
        <w:rPr>
          <w:rFonts w:ascii="Arial" w:cs="Arial" w:eastAsia="Arial" w:hAnsi="Arial"/>
          <w:sz w:val="18"/>
          <w:szCs w:val="18"/>
          <w:color w:val="auto"/>
        </w:rPr>
        <w:t xml:space="preserve">communication by posting this information onto an electronic website designated by the Borrower and the Agent (the </w:t>
      </w:r>
      <w:r>
        <w:rPr>
          <w:rFonts w:ascii="Arial" w:cs="Arial" w:eastAsia="Arial" w:hAnsi="Arial"/>
          <w:sz w:val="18"/>
          <w:szCs w:val="18"/>
          <w:b w:val="1"/>
          <w:bCs w:val="1"/>
          <w:color w:val="auto"/>
        </w:rPr>
        <w:t>Designated</w:t>
      </w:r>
      <w:r>
        <w:rPr>
          <w:rFonts w:ascii="Arial" w:cs="Arial" w:eastAsia="Arial" w:hAnsi="Arial"/>
          <w:sz w:val="18"/>
          <w:szCs w:val="18"/>
          <w:color w:val="auto"/>
        </w:rPr>
        <w:t xml:space="preserve"> </w:t>
      </w:r>
      <w:r>
        <w:rPr>
          <w:rFonts w:ascii="Arial" w:cs="Arial" w:eastAsia="Arial" w:hAnsi="Arial"/>
          <w:sz w:val="18"/>
          <w:szCs w:val="18"/>
          <w:b w:val="1"/>
          <w:bCs w:val="1"/>
          <w:color w:val="auto"/>
        </w:rPr>
        <w:t>Website</w:t>
      </w:r>
      <w:r>
        <w:rPr>
          <w:rFonts w:ascii="Arial" w:cs="Arial" w:eastAsia="Arial" w:hAnsi="Arial"/>
          <w:sz w:val="18"/>
          <w:szCs w:val="18"/>
          <w:color w:val="auto"/>
        </w:rPr>
        <w:t>) if:</w:t>
      </w:r>
    </w:p>
    <w:p>
      <w:pPr>
        <w:spacing w:after="0" w:line="166" w:lineRule="exact"/>
        <w:rPr>
          <w:sz w:val="20"/>
          <w:szCs w:val="20"/>
          <w:color w:val="auto"/>
        </w:rPr>
      </w:pPr>
    </w:p>
    <w:p>
      <w:pPr>
        <w:ind w:left="1960" w:right="20" w:hanging="656"/>
        <w:spacing w:after="0" w:line="277" w:lineRule="auto"/>
        <w:tabs>
          <w:tab w:leader="none" w:pos="198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70" w:lineRule="exact"/>
        <w:rPr>
          <w:rFonts w:ascii="Arial" w:cs="Arial" w:eastAsia="Arial" w:hAnsi="Arial"/>
          <w:sz w:val="18"/>
          <w:szCs w:val="18"/>
          <w:color w:val="auto"/>
        </w:rPr>
      </w:pPr>
    </w:p>
    <w:p>
      <w:pPr>
        <w:ind w:left="1960" w:right="500" w:hanging="656"/>
        <w:spacing w:after="0" w:line="277" w:lineRule="auto"/>
        <w:tabs>
          <w:tab w:leader="none" w:pos="199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both the Borrower and the Agent are aware of the address of and any relevant password specifications for the Designated Website; and</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 and the Agent.</w:t>
      </w:r>
    </w:p>
    <w:p>
      <w:pPr>
        <w:spacing w:after="0" w:line="221" w:lineRule="exact"/>
        <w:rPr>
          <w:sz w:val="20"/>
          <w:szCs w:val="20"/>
          <w:color w:val="auto"/>
        </w:rPr>
      </w:pPr>
    </w:p>
    <w:p>
      <w:pPr>
        <w:ind w:left="660" w:right="220"/>
        <w:spacing w:after="0" w:line="289" w:lineRule="auto"/>
        <w:rPr>
          <w:sz w:val="20"/>
          <w:szCs w:val="20"/>
          <w:color w:val="auto"/>
        </w:rPr>
      </w:pPr>
      <w:r>
        <w:rPr>
          <w:rFonts w:ascii="Arial" w:cs="Arial" w:eastAsia="Arial" w:hAnsi="Arial"/>
          <w:sz w:val="17"/>
          <w:szCs w:val="17"/>
          <w:color w:val="auto"/>
        </w:rPr>
        <w:t xml:space="preserve">If any Lender (a </w:t>
      </w:r>
      <w:r>
        <w:rPr>
          <w:rFonts w:ascii="Arial" w:cs="Arial" w:eastAsia="Arial" w:hAnsi="Arial"/>
          <w:sz w:val="17"/>
          <w:szCs w:val="17"/>
          <w:b w:val="1"/>
          <w:bCs w:val="1"/>
          <w:color w:val="auto"/>
        </w:rPr>
        <w:t>Paper Form Lender</w:t>
      </w:r>
      <w:r>
        <w:rPr>
          <w:rFonts w:ascii="Arial" w:cs="Arial" w:eastAsia="Arial" w:hAnsi="Arial"/>
          <w:sz w:val="17"/>
          <w:szCs w:val="17"/>
          <w:color w:val="auto"/>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copy in paper form of any information required to be provided by it.</w:t>
      </w:r>
    </w:p>
    <w:p>
      <w:pPr>
        <w:spacing w:after="0" w:line="162" w:lineRule="exact"/>
        <w:rPr>
          <w:sz w:val="20"/>
          <w:szCs w:val="20"/>
          <w:color w:val="auto"/>
        </w:rPr>
      </w:pPr>
    </w:p>
    <w:p>
      <w:pPr>
        <w:ind w:left="1300" w:right="260" w:hanging="644"/>
        <w:spacing w:after="0" w:line="277" w:lineRule="auto"/>
        <w:tabs>
          <w:tab w:leader="none" w:pos="130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 and the Agent.</w:t>
      </w:r>
    </w:p>
    <w:p>
      <w:pPr>
        <w:spacing w:after="0" w:line="170" w:lineRule="exact"/>
        <w:rPr>
          <w:rFonts w:ascii="Arial" w:cs="Arial" w:eastAsia="Arial" w:hAnsi="Arial"/>
          <w:sz w:val="18"/>
          <w:szCs w:val="18"/>
          <w:color w:val="auto"/>
        </w:rPr>
      </w:pPr>
    </w:p>
    <w:p>
      <w:pPr>
        <w:ind w:left="1300" w:right="420" w:hanging="644"/>
        <w:spacing w:after="0" w:line="277" w:lineRule="auto"/>
        <w:tabs>
          <w:tab w:leader="none" w:pos="131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Borrower shall promptly upon any of them becoming aware of its occurrence notify the Agent (and the Agent shall notify each Lender) if:</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48" w:lineRule="exact"/>
        <w:rPr>
          <w:rFonts w:ascii="Arial" w:cs="Arial" w:eastAsia="Arial" w:hAnsi="Arial"/>
          <w:sz w:val="16"/>
          <w:szCs w:val="16"/>
          <w:color w:val="auto"/>
        </w:rPr>
      </w:pPr>
    </w:p>
    <w:p>
      <w:pPr>
        <w:ind w:left="1960" w:right="40" w:hanging="656"/>
        <w:spacing w:after="0" w:line="277" w:lineRule="auto"/>
        <w:tabs>
          <w:tab w:leader="none" w:pos="1967"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Borrower becomes aware that the Designated Website or any information posted onto the Designated Website is or has been infected by any electronic virus or similar software.</w:t>
      </w:r>
    </w:p>
    <w:p>
      <w:pPr>
        <w:spacing w:after="0" w:line="170" w:lineRule="exact"/>
        <w:rPr>
          <w:sz w:val="20"/>
          <w:szCs w:val="20"/>
          <w:color w:val="auto"/>
        </w:rPr>
      </w:pPr>
    </w:p>
    <w:p>
      <w:pPr>
        <w:jc w:val="both"/>
        <w:ind w:left="1300" w:right="260"/>
        <w:spacing w:after="0" w:line="263" w:lineRule="auto"/>
        <w:rPr>
          <w:sz w:val="20"/>
          <w:szCs w:val="20"/>
          <w:color w:val="auto"/>
        </w:rPr>
      </w:pPr>
      <w:r>
        <w:rPr>
          <w:rFonts w:ascii="Arial" w:cs="Arial" w:eastAsia="Arial" w:hAnsi="Arial"/>
          <w:sz w:val="18"/>
          <w:szCs w:val="18"/>
          <w:color w:val="auto"/>
        </w:rPr>
        <w:t>If the Borrower notifies the Agent under paragraphs 19.8(c)(i) or (v)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184" w:lineRule="exact"/>
        <w:rPr>
          <w:sz w:val="20"/>
          <w:szCs w:val="20"/>
          <w:color w:val="auto"/>
        </w:rPr>
      </w:pPr>
    </w:p>
    <w:p>
      <w:pPr>
        <w:ind w:left="1300" w:right="160" w:hanging="644"/>
        <w:spacing w:after="0" w:line="342" w:lineRule="auto"/>
        <w:tabs>
          <w:tab w:leader="none" w:pos="130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Borrower shall comply with any such request within ten Business Days.</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b w:val="1"/>
          <w:bCs w:val="1"/>
          <w:color w:val="auto"/>
        </w:rPr>
        <w:t>“Know your customer” checks</w:t>
      </w:r>
    </w:p>
    <w:p>
      <w:pPr>
        <w:spacing w:after="0" w:line="229" w:lineRule="exact"/>
        <w:rPr>
          <w:sz w:val="20"/>
          <w:szCs w:val="20"/>
          <w:color w:val="auto"/>
        </w:rPr>
      </w:pPr>
    </w:p>
    <w:p>
      <w:pPr>
        <w:ind w:left="1300" w:hanging="644"/>
        <w:spacing w:after="0"/>
        <w:tabs>
          <w:tab w:leader="none" w:pos="13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8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70" w:lineRule="exact"/>
        <w:rPr>
          <w:rFonts w:ascii="Arial" w:cs="Arial" w:eastAsia="Arial" w:hAnsi="Arial"/>
          <w:sz w:val="18"/>
          <w:szCs w:val="18"/>
          <w:color w:val="auto"/>
        </w:rPr>
      </w:pPr>
    </w:p>
    <w:p>
      <w:pPr>
        <w:ind w:left="5540" w:right="80" w:hanging="4236"/>
        <w:spacing w:after="0" w:line="527" w:lineRule="auto"/>
        <w:tabs>
          <w:tab w:leader="none" w:pos="1989"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of an Obligor after the date of this Agreement; or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4" w:name="page315"/>
    <w:bookmarkEnd w:id="314"/>
    <w:p>
      <w:pPr>
        <w:ind w:left="1960" w:right="80" w:hanging="656"/>
        <w:spacing w:after="0" w:line="277" w:lineRule="auto"/>
        <w:tabs>
          <w:tab w:leader="none" w:pos="20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 proposed assignment by a Lender or a Hedging Provider of any of its rights under this Agreement or any Hedging Contract to a party that is not already a Lender or a Hedging Provider prior to such assignment,</w:t>
      </w:r>
    </w:p>
    <w:p>
      <w:pPr>
        <w:spacing w:after="0" w:line="170" w:lineRule="exact"/>
        <w:rPr>
          <w:sz w:val="20"/>
          <w:szCs w:val="20"/>
          <w:color w:val="auto"/>
        </w:rPr>
      </w:pPr>
    </w:p>
    <w:p>
      <w:pPr>
        <w:ind w:left="1300" w:right="100"/>
        <w:spacing w:after="0" w:line="269" w:lineRule="auto"/>
        <w:rPr>
          <w:sz w:val="20"/>
          <w:szCs w:val="20"/>
          <w:color w:val="auto"/>
        </w:rPr>
      </w:pPr>
      <w:r>
        <w:rPr>
          <w:rFonts w:ascii="Arial" w:cs="Arial" w:eastAsia="Arial" w:hAnsi="Arial"/>
          <w:sz w:val="17"/>
          <w:szCs w:val="17"/>
          <w:color w:val="auto"/>
        </w:rPr>
        <w:t>obliges the Agent, the Security Agent, the relevant Hedging Provider or any Lender (or, in the case of paragraph 19.9(a)(iii)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Hedging Provider or any Lender supply, or procure the supply of, such documentation and other evidence as is requested by the Agent or any Hedging Provider (for itself or on behalf of any Lender or the Security Agent or any Hedging Provider) or any Lender or the Security Agent (for itself or, in the case of the event described in paragraph 19.9(a)(iii) above, on behalf of any prospective new Lender or the Security Agent or any Hedging Provider) in order for the Agent, the Security Agent or such Lender or such Hedging Provider or, in the case of the event described in paragraph 19.9(a)(iii) above, any prospective new Lender or Hedging Provider to carry out and be satisfied with the results of all necessary “know your customer” or other similar checks under all applicable laws and regulations pursuant to the transactions contemplated in the Finance Documents.</w:t>
      </w:r>
    </w:p>
    <w:p>
      <w:pPr>
        <w:spacing w:after="0" w:line="182" w:lineRule="exact"/>
        <w:rPr>
          <w:sz w:val="20"/>
          <w:szCs w:val="20"/>
          <w:color w:val="auto"/>
        </w:rPr>
      </w:pPr>
    </w:p>
    <w:p>
      <w:pPr>
        <w:ind w:left="1300" w:hanging="644"/>
        <w:spacing w:after="0" w:line="259" w:lineRule="auto"/>
        <w:tabs>
          <w:tab w:leader="none" w:pos="130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Money Laundering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will:</w:t>
      </w:r>
    </w:p>
    <w:p>
      <w:pPr>
        <w:spacing w:after="0" w:line="225" w:lineRule="exact"/>
        <w:rPr>
          <w:sz w:val="20"/>
          <w:szCs w:val="20"/>
          <w:color w:val="auto"/>
        </w:rPr>
      </w:pPr>
    </w:p>
    <w:p>
      <w:pPr>
        <w:ind w:left="1300" w:right="40" w:hanging="644"/>
        <w:spacing w:after="0" w:line="286" w:lineRule="auto"/>
        <w:tabs>
          <w:tab w:leader="none" w:pos="129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7"/>
          <w:szCs w:val="17"/>
          <w:i w:val="1"/>
          <w:iCs w:val="1"/>
          <w:color w:val="auto"/>
        </w:rPr>
        <w:t>Bribery and corruption</w:t>
      </w:r>
      <w:r>
        <w:rPr>
          <w:rFonts w:ascii="Arial" w:cs="Arial" w:eastAsia="Arial" w:hAnsi="Arial"/>
          <w:sz w:val="17"/>
          <w:szCs w:val="17"/>
          <w:color w:val="auto"/>
        </w:rPr>
        <w:t>)) throughout the Facility Period; and</w:t>
      </w:r>
    </w:p>
    <w:p>
      <w:pPr>
        <w:spacing w:after="0" w:line="165" w:lineRule="exact"/>
        <w:rPr>
          <w:rFonts w:ascii="Arial" w:cs="Arial" w:eastAsia="Arial" w:hAnsi="Arial"/>
          <w:sz w:val="17"/>
          <w:szCs w:val="17"/>
          <w:color w:val="auto"/>
        </w:rPr>
      </w:pPr>
    </w:p>
    <w:p>
      <w:pPr>
        <w:ind w:left="1300" w:right="40" w:hanging="644"/>
        <w:spacing w:after="0" w:line="259" w:lineRule="auto"/>
        <w:tabs>
          <w:tab w:leader="none" w:pos="13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 have or will receive the commercial benefit of this Agreement have changed from the date hereof.</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Financial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clauses 20 (</w:t>
      </w:r>
      <w:r>
        <w:rPr>
          <w:rFonts w:ascii="Arial" w:cs="Arial" w:eastAsia="Arial" w:hAnsi="Arial"/>
          <w:sz w:val="18"/>
          <w:szCs w:val="18"/>
          <w:i w:val="1"/>
          <w:iCs w:val="1"/>
          <w:color w:val="auto"/>
        </w:rPr>
        <w:t>Financial covenants</w:t>
      </w:r>
      <w:r>
        <w:rPr>
          <w:rFonts w:ascii="Arial" w:cs="Arial" w:eastAsia="Arial" w:hAnsi="Arial"/>
          <w:sz w:val="18"/>
          <w:szCs w:val="18"/>
          <w:color w:val="auto"/>
        </w:rPr>
        <w:t>),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xml:space="preserve">) and 20.3 </w:t>
      </w:r>
      <w:r>
        <w:rPr>
          <w:rFonts w:ascii="Arial" w:cs="Arial" w:eastAsia="Arial" w:hAnsi="Arial"/>
          <w:sz w:val="18"/>
          <w:szCs w:val="18"/>
          <w:i w:val="1"/>
          <w:iCs w:val="1"/>
          <w:color w:val="auto"/>
        </w:rPr>
        <w:t>(Group financial testing</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of:</w:t>
      </w:r>
    </w:p>
    <w:p>
      <w:pPr>
        <w:spacing w:after="0" w:line="229" w:lineRule="exact"/>
        <w:rPr>
          <w:sz w:val="20"/>
          <w:szCs w:val="20"/>
          <w:color w:val="auto"/>
        </w:rPr>
      </w:pPr>
    </w:p>
    <w:p>
      <w:pPr>
        <w:ind w:left="1300" w:hanging="644"/>
        <w:spacing w:after="0"/>
        <w:tabs>
          <w:tab w:leader="none" w:pos="13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scheduled amounts of principal;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500" w:hanging="644"/>
        <w:spacing w:after="0" w:line="277" w:lineRule="auto"/>
        <w:tabs>
          <w:tab w:leader="none" w:pos="131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all other amounts in excess of $30,000,000 per such financial period payable as non-recurring or upfront fees, cost and expenses in connection with the Group’s Financial Indebtedness,</w:t>
      </w:r>
    </w:p>
    <w:p>
      <w:pPr>
        <w:spacing w:after="0" w:line="17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which in each case fell due and was paid by the Parent and its Subsidiaries in such period in respect of Group Total Indebtedness, as shown in the then most recent Group Financial Statements relevant to such period.</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w:t>
      </w:r>
    </w:p>
    <w:p>
      <w:pPr>
        <w:spacing w:after="0" w:line="229" w:lineRule="exact"/>
        <w:rPr>
          <w:sz w:val="20"/>
          <w:szCs w:val="20"/>
          <w:color w:val="auto"/>
        </w:rPr>
      </w:pPr>
    </w:p>
    <w:p>
      <w:pPr>
        <w:ind w:left="1300" w:hanging="644"/>
        <w:spacing w:after="0"/>
        <w:tabs>
          <w:tab w:leader="none" w:pos="13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adjusted to exclude Interest Receivable and Interest Payable and other similar income or costs to the extent not already excluded;</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1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221" w:lineRule="exact"/>
        <w:rPr>
          <w:sz w:val="20"/>
          <w:szCs w:val="20"/>
          <w:color w:val="auto"/>
        </w:rPr>
      </w:pPr>
    </w:p>
    <w:p>
      <w:pPr>
        <w:ind w:left="660" w:right="320"/>
        <w:spacing w:after="0" w:line="314" w:lineRule="auto"/>
        <w:rPr>
          <w:sz w:val="20"/>
          <w:szCs w:val="20"/>
          <w:color w:val="auto"/>
        </w:rPr>
      </w:pPr>
      <w:r>
        <w:rPr>
          <w:rFonts w:ascii="Arial" w:cs="Arial" w:eastAsia="Arial" w:hAnsi="Arial"/>
          <w:sz w:val="16"/>
          <w:szCs w:val="16"/>
          <w:b w:val="1"/>
          <w:bCs w:val="1"/>
          <w:color w:val="auto"/>
        </w:rPr>
        <w:t xml:space="preserve">Group Cash and Cash Equivalents </w:t>
      </w:r>
      <w:r>
        <w:rPr>
          <w:rFonts w:ascii="Arial" w:cs="Arial" w:eastAsia="Arial" w:hAnsi="Arial"/>
          <w:sz w:val="16"/>
          <w:szCs w:val="16"/>
          <w:color w:val="auto"/>
        </w:rPr>
        <w:t>means (a) cash and cash equivalents and (b) short term investments as set forth in the Group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which are readily convertible into known amounts of cash and with original maturities of six months or less, but excluding, for the avoidance of doubt, in each case cash and other amounts set forth as “restricted cash” in the Group Financial Statements.</w:t>
      </w:r>
    </w:p>
    <w:p>
      <w:pPr>
        <w:sectPr>
          <w:pgSz w:w="11900" w:h="16838" w:orient="portrait"/>
          <w:cols w:equalWidth="0" w:num="1">
            <w:col w:w="11240"/>
          </w:cols>
          <w:pgMar w:left="320" w:top="341" w:right="339" w:bottom="0" w:gutter="0" w:footer="0" w:header="0"/>
        </w:sectPr>
      </w:pPr>
    </w:p>
    <w:bookmarkStart w:id="315" w:name="page316"/>
    <w:bookmarkEnd w:id="315"/>
    <w:p>
      <w:pPr>
        <w:ind w:right="100"/>
        <w:spacing w:after="0" w:line="282" w:lineRule="auto"/>
        <w:rPr>
          <w:sz w:val="20"/>
          <w:szCs w:val="20"/>
          <w:color w:val="auto"/>
        </w:rPr>
      </w:pPr>
      <w:r>
        <w:rPr>
          <w:rFonts w:ascii="Arial" w:cs="Arial" w:eastAsia="Arial" w:hAnsi="Arial"/>
          <w:sz w:val="18"/>
          <w:szCs w:val="18"/>
          <w:b w:val="1"/>
          <w:bCs w:val="1"/>
          <w:color w:val="auto"/>
        </w:rPr>
        <w:t xml:space="preserve">Group Current Portion of Loans </w:t>
      </w:r>
      <w:r>
        <w:rPr>
          <w:rFonts w:ascii="Arial" w:cs="Arial" w:eastAsia="Arial" w:hAnsi="Arial"/>
          <w:sz w:val="18"/>
          <w:szCs w:val="18"/>
          <w:color w:val="auto"/>
        </w:rPr>
        <w:t>means, at any time, the “Borrowings, current portion” and “Lease Liability, current portion” of the Group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then most recent Group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Group Current Assets </w:t>
      </w:r>
      <w:r>
        <w:rPr>
          <w:rFonts w:ascii="Arial" w:cs="Arial" w:eastAsia="Arial" w:hAnsi="Arial"/>
          <w:sz w:val="17"/>
          <w:szCs w:val="17"/>
          <w:color w:val="auto"/>
        </w:rPr>
        <w:t>means, at any time, “Current Assets” of the Group as shown in the then most recent Group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Current Liabilities </w:t>
      </w:r>
      <w:r>
        <w:rPr>
          <w:rFonts w:ascii="Arial" w:cs="Arial" w:eastAsia="Arial" w:hAnsi="Arial"/>
          <w:sz w:val="18"/>
          <w:szCs w:val="18"/>
          <w:color w:val="auto"/>
        </w:rPr>
        <w:t>means, at any time, the “Current Liabilities” of the Group as shown in the Group Financial Statements.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Group Financial Statements </w:t>
      </w:r>
      <w:r>
        <w:rPr>
          <w:rFonts w:ascii="Arial" w:cs="Arial" w:eastAsia="Arial" w:hAnsi="Arial"/>
          <w:sz w:val="18"/>
          <w:szCs w:val="18"/>
          <w:color w:val="auto"/>
        </w:rPr>
        <w:t>means any of the Annual Financial Statements and the Semi-Annual Financial Statements of the Group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Market Adjusted Net Worth </w:t>
      </w:r>
      <w:r>
        <w:rPr>
          <w:rFonts w:ascii="Arial" w:cs="Arial" w:eastAsia="Arial" w:hAnsi="Arial"/>
          <w:sz w:val="18"/>
          <w:szCs w:val="18"/>
          <w:color w:val="auto"/>
        </w:rPr>
        <w:t>means, at any time, Group Total Market Adjusted Assets less Group Total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Maximum Leverage </w:t>
      </w:r>
      <w:r>
        <w:rPr>
          <w:rFonts w:ascii="Arial" w:cs="Arial" w:eastAsia="Arial" w:hAnsi="Arial"/>
          <w:sz w:val="18"/>
          <w:szCs w:val="18"/>
          <w:color w:val="auto"/>
        </w:rPr>
        <w:t>means, at any time, the figure calculated using the following formula:</w:t>
      </w:r>
    </w:p>
    <w:p>
      <w:pPr>
        <w:spacing w:after="0" w:line="225"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color w:val="auto"/>
                <w:w w:val="98"/>
              </w:rPr>
              <w:t>Group Maximum Leverage =</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Group Total Indebtedness</w:t>
            </w:r>
          </w:p>
        </w:tc>
        <w:tc>
          <w:tcPr>
            <w:tcW w:w="0" w:type="dxa"/>
            <w:vAlign w:val="bottom"/>
          </w:tcPr>
          <w:p>
            <w:pPr>
              <w:spacing w:after="0"/>
              <w:rPr>
                <w:sz w:val="1"/>
                <w:szCs w:val="1"/>
                <w:color w:val="auto"/>
              </w:rPr>
            </w:pPr>
          </w:p>
        </w:tc>
      </w:tr>
      <w:tr>
        <w:trPr>
          <w:trHeight w:val="88"/>
        </w:trPr>
        <w:tc>
          <w:tcPr>
            <w:tcW w:w="2280" w:type="dxa"/>
            <w:vAlign w:val="bottom"/>
            <w:vMerge w:val="continue"/>
          </w:tcPr>
          <w:p>
            <w:pPr>
              <w:spacing w:after="0"/>
              <w:rPr>
                <w:sz w:val="7"/>
                <w:szCs w:val="7"/>
                <w:color w:val="auto"/>
              </w:rPr>
            </w:pPr>
          </w:p>
        </w:tc>
        <w:tc>
          <w:tcPr>
            <w:tcW w:w="3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Group Total Assets</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Group Total Assets </w:t>
      </w:r>
      <w:r>
        <w:rPr>
          <w:rFonts w:ascii="Arial" w:cs="Arial" w:eastAsia="Arial" w:hAnsi="Arial"/>
          <w:sz w:val="18"/>
          <w:szCs w:val="18"/>
          <w:color w:val="auto"/>
        </w:rPr>
        <w:t>means, at any time, the amount of total assets of the Group on a consolidated basis as determined in accordance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and shown in the then most recent</w:t>
      </w:r>
    </w:p>
    <w:p>
      <w:pPr>
        <w:spacing w:after="0" w:line="16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40"/>
          </w:cols>
          <w:pgMar w:left="980" w:top="121" w:right="479" w:bottom="1440" w:gutter="0" w:footer="0" w:header="0"/>
        </w:sectPr>
      </w:pPr>
    </w:p>
    <w:bookmarkStart w:id="316" w:name="page317"/>
    <w:bookmarkEnd w:id="316"/>
    <w:p>
      <w:pPr>
        <w:ind w:left="660"/>
        <w:spacing w:after="0"/>
        <w:rPr>
          <w:sz w:val="20"/>
          <w:szCs w:val="20"/>
          <w:color w:val="auto"/>
        </w:rPr>
      </w:pPr>
      <w:r>
        <w:rPr>
          <w:rFonts w:ascii="Arial" w:cs="Arial" w:eastAsia="Arial" w:hAnsi="Arial"/>
          <w:sz w:val="18"/>
          <w:szCs w:val="18"/>
          <w:color w:val="auto"/>
        </w:rPr>
        <w:t>Group Financial Statements and calculated in the same manner as shown in the Original Financial Statements of the Group.</w:t>
      </w:r>
    </w:p>
    <w:p>
      <w:pPr>
        <w:spacing w:after="0" w:line="221"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Group Total Indebtedness </w:t>
      </w:r>
      <w:r>
        <w:rPr>
          <w:rFonts w:ascii="Arial" w:cs="Arial" w:eastAsia="Arial" w:hAnsi="Arial"/>
          <w:sz w:val="18"/>
          <w:szCs w:val="18"/>
          <w:color w:val="auto"/>
        </w:rPr>
        <w:t>means, at any time, the aggregate Financial Indebtedness (on a consolidated basis) of the Group, as shown in the then</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Group Financial Statements.</w:t>
      </w:r>
    </w:p>
    <w:p>
      <w:pPr>
        <w:spacing w:after="0" w:line="162" w:lineRule="exact"/>
        <w:rPr>
          <w:sz w:val="20"/>
          <w:szCs w:val="20"/>
          <w:color w:val="auto"/>
        </w:rPr>
      </w:pPr>
    </w:p>
    <w:p>
      <w:pPr>
        <w:ind w:left="660" w:right="40"/>
        <w:spacing w:after="0" w:line="289" w:lineRule="auto"/>
        <w:rPr>
          <w:sz w:val="20"/>
          <w:szCs w:val="20"/>
          <w:color w:val="auto"/>
        </w:rPr>
      </w:pPr>
      <w:r>
        <w:rPr>
          <w:rFonts w:ascii="Arial" w:cs="Arial" w:eastAsia="Arial" w:hAnsi="Arial"/>
          <w:sz w:val="17"/>
          <w:szCs w:val="17"/>
          <w:b w:val="1"/>
          <w:bCs w:val="1"/>
          <w:color w:val="auto"/>
        </w:rPr>
        <w:t xml:space="preserve">Group Total Market Adjusted Assets </w:t>
      </w:r>
      <w:r>
        <w:rPr>
          <w:rFonts w:ascii="Arial" w:cs="Arial" w:eastAsia="Arial" w:hAnsi="Arial"/>
          <w:sz w:val="17"/>
          <w:szCs w:val="17"/>
          <w:color w:val="auto"/>
        </w:rPr>
        <w:t>means, at any time, the Group Total Assets adjusted upwards or downwards, as the case may be, to reflect</w:t>
      </w:r>
      <w:r>
        <w:rPr>
          <w:rFonts w:ascii="Arial" w:cs="Arial" w:eastAsia="Arial" w:hAnsi="Arial"/>
          <w:sz w:val="17"/>
          <w:szCs w:val="17"/>
          <w:b w:val="1"/>
          <w:bCs w:val="1"/>
          <w:color w:val="auto"/>
        </w:rPr>
        <w:t xml:space="preserve"> </w:t>
      </w:r>
      <w:r>
        <w:rPr>
          <w:rFonts w:ascii="Arial" w:cs="Arial" w:eastAsia="Arial" w:hAnsi="Arial"/>
          <w:sz w:val="17"/>
          <w:szCs w:val="17"/>
          <w:color w:val="auto"/>
        </w:rPr>
        <w:t>any difference between the book value of Fleet Vessels and mean valuations of such Fleet Vessels provided to the Agent under clause 19.2 (Provision and contents of Compliance Certificate and valuations) and made in accordance with the provisions of such clause.</w:t>
      </w:r>
    </w:p>
    <w:p>
      <w:pPr>
        <w:spacing w:after="0" w:line="158" w:lineRule="exact"/>
        <w:rPr>
          <w:sz w:val="20"/>
          <w:szCs w:val="20"/>
          <w:color w:val="auto"/>
        </w:rPr>
      </w:pPr>
    </w:p>
    <w:p>
      <w:pPr>
        <w:ind w:left="660" w:right="420"/>
        <w:spacing w:after="0" w:line="282"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effecting, servicing or maintaining such Financial Indebtedness including:</w:t>
      </w:r>
    </w:p>
    <w:p>
      <w:pPr>
        <w:spacing w:after="0" w:line="166" w:lineRule="exact"/>
        <w:rPr>
          <w:sz w:val="20"/>
          <w:szCs w:val="20"/>
          <w:color w:val="auto"/>
        </w:rPr>
      </w:pPr>
    </w:p>
    <w:p>
      <w:pPr>
        <w:ind w:left="1300" w:right="560" w:hanging="644"/>
        <w:spacing w:after="0" w:line="342" w:lineRule="auto"/>
        <w:tabs>
          <w:tab w:leader="none" w:pos="1297" w:val="left"/>
        </w:tabs>
        <w:numPr>
          <w:ilvl w:val="0"/>
          <w:numId w:val="357"/>
        </w:numPr>
        <w:rPr>
          <w:rFonts w:ascii="Arial" w:cs="Arial" w:eastAsia="Arial" w:hAnsi="Arial"/>
          <w:sz w:val="16"/>
          <w:szCs w:val="16"/>
          <w:color w:val="auto"/>
        </w:rPr>
      </w:pPr>
      <w:r>
        <w:rPr>
          <w:rFonts w:ascii="Arial" w:cs="Arial" w:eastAsia="Arial" w:hAnsi="Arial"/>
          <w:sz w:val="16"/>
          <w:szCs w:val="16"/>
          <w:color w:val="auto"/>
        </w:rPr>
        <w:t>gross interest, commitment fees, financing premia or other financial charges, discount and acceptance fees and administration and guarantee fees and fronting and ancillary facility fees payable or incurred on any form of such Financial Indebtedness;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9" w:lineRule="exact"/>
        <w:rPr>
          <w:sz w:val="20"/>
          <w:szCs w:val="20"/>
          <w:color w:val="auto"/>
        </w:rPr>
      </w:pPr>
    </w:p>
    <w:p>
      <w:pPr>
        <w:ind w:left="1300" w:right="340" w:hanging="644"/>
        <w:spacing w:after="0" w:line="263" w:lineRule="auto"/>
        <w:tabs>
          <w:tab w:leader="none" w:pos="129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83" w:lineRule="exact"/>
        <w:rPr>
          <w:rFonts w:ascii="Arial" w:cs="Arial" w:eastAsia="Arial" w:hAnsi="Arial"/>
          <w:sz w:val="18"/>
          <w:szCs w:val="18"/>
          <w:color w:val="auto"/>
        </w:rPr>
      </w:pPr>
    </w:p>
    <w:p>
      <w:pPr>
        <w:ind w:left="1300" w:right="480" w:hanging="644"/>
        <w:spacing w:after="0" w:line="277" w:lineRule="auto"/>
        <w:tabs>
          <w:tab w:leader="none" w:pos="130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221" w:lineRule="exact"/>
        <w:rPr>
          <w:sz w:val="20"/>
          <w:szCs w:val="20"/>
          <w:color w:val="auto"/>
        </w:rPr>
      </w:pPr>
    </w:p>
    <w:p>
      <w:pPr>
        <w:ind w:left="660" w:right="60"/>
        <w:spacing w:after="0" w:line="266"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accrued on the Accounts, to the extent that the account holder is entitled to receive such interest) during such period, as shown in the then most recent Group Financial Statements relevant to such period.</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Group 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shall ensure that at all times throughout the Facility Period when the Parent is an Active Guarantor:</w:t>
      </w:r>
    </w:p>
    <w:p>
      <w:pPr>
        <w:spacing w:after="0" w:line="221" w:lineRule="exact"/>
        <w:rPr>
          <w:sz w:val="20"/>
          <w:szCs w:val="20"/>
          <w:color w:val="auto"/>
        </w:rPr>
      </w:pPr>
    </w:p>
    <w:p>
      <w:pPr>
        <w:ind w:left="1300" w:hanging="644"/>
        <w:spacing w:after="0"/>
        <w:tabs>
          <w:tab w:leader="none" w:pos="130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Group Net Worth</w:t>
      </w:r>
      <w:r>
        <w:rPr>
          <w:rFonts w:ascii="Arial" w:cs="Arial" w:eastAsia="Arial" w:hAnsi="Arial"/>
          <w:sz w:val="18"/>
          <w:szCs w:val="18"/>
          <w:color w:val="auto"/>
        </w:rPr>
        <w:t>: Group Market Adjusted Net Worth shall be not less than $350,000,000;</w:t>
      </w:r>
    </w:p>
    <w:p>
      <w:pPr>
        <w:spacing w:after="0" w:line="225" w:lineRule="exact"/>
        <w:rPr>
          <w:rFonts w:ascii="Arial" w:cs="Arial" w:eastAsia="Arial" w:hAnsi="Arial"/>
          <w:sz w:val="18"/>
          <w:szCs w:val="18"/>
          <w:color w:val="auto"/>
        </w:rPr>
      </w:pPr>
    </w:p>
    <w:p>
      <w:pPr>
        <w:ind w:left="1300" w:right="320" w:hanging="644"/>
        <w:spacing w:after="0" w:line="282" w:lineRule="auto"/>
        <w:tabs>
          <w:tab w:leader="none" w:pos="1307"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Group current ratio</w:t>
      </w:r>
      <w:r>
        <w:rPr>
          <w:rFonts w:ascii="Arial" w:cs="Arial" w:eastAsia="Arial" w:hAnsi="Arial"/>
          <w:sz w:val="18"/>
          <w:szCs w:val="18"/>
          <w:color w:val="auto"/>
        </w:rPr>
        <w:t>: Group Current Assets shall be greater than or equal to Group Current Liabilities (excluding the Group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Loans);</w:t>
      </w:r>
    </w:p>
    <w:p>
      <w:pPr>
        <w:spacing w:after="0" w:line="161" w:lineRule="exact"/>
        <w:rPr>
          <w:rFonts w:ascii="Arial" w:cs="Arial" w:eastAsia="Arial" w:hAnsi="Arial"/>
          <w:sz w:val="18"/>
          <w:szCs w:val="18"/>
          <w:color w:val="auto"/>
        </w:rPr>
      </w:pPr>
    </w:p>
    <w:p>
      <w:pPr>
        <w:ind w:left="1300" w:hanging="644"/>
        <w:spacing w:after="0" w:line="266" w:lineRule="auto"/>
        <w:tabs>
          <w:tab w:leader="none" w:pos="1311"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Group debt service cover</w:t>
      </w:r>
      <w:r>
        <w:rPr>
          <w:rFonts w:ascii="Arial" w:cs="Arial" w:eastAsia="Arial" w:hAnsi="Arial"/>
          <w:sz w:val="18"/>
          <w:szCs w:val="18"/>
          <w:color w:val="auto"/>
        </w:rPr>
        <w:t>: in respect of any six month period, on a trailing four quarter basis, the ratio of EBITDA to Debt Service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no less than 1.10:1, provided always that such ratio shall be regarded as having been complied with if at the relevant time when such ratio is being tested the Group Cash and Cash Equivalents is $110,000,000 or higher;</w:t>
      </w:r>
    </w:p>
    <w:p>
      <w:pPr>
        <w:spacing w:after="0" w:line="175" w:lineRule="exact"/>
        <w:rPr>
          <w:rFonts w:ascii="Arial" w:cs="Arial" w:eastAsia="Arial" w:hAnsi="Arial"/>
          <w:sz w:val="18"/>
          <w:szCs w:val="18"/>
          <w:color w:val="auto"/>
        </w:rPr>
      </w:pPr>
    </w:p>
    <w:p>
      <w:pPr>
        <w:ind w:left="1320" w:hanging="664"/>
        <w:spacing w:after="0"/>
        <w:tabs>
          <w:tab w:leader="none" w:pos="132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Group leverage</w:t>
      </w:r>
      <w:r>
        <w:rPr>
          <w:rFonts w:ascii="Arial" w:cs="Arial" w:eastAsia="Arial" w:hAnsi="Arial"/>
          <w:sz w:val="18"/>
          <w:szCs w:val="18"/>
          <w:color w:val="auto"/>
        </w:rPr>
        <w:t>: Group Maximum Leverage shall be less than 75%; and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7" w:name="page318"/>
    <w:bookmarkEnd w:id="317"/>
    <w:p>
      <w:pPr>
        <w:ind w:left="1320" w:hanging="664"/>
        <w:spacing w:after="0"/>
        <w:tabs>
          <w:tab w:leader="none" w:pos="1320"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Group Cash and Cash Equivalents shall be at least $75,000,000.</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Group financial testing</w:t>
      </w:r>
    </w:p>
    <w:p>
      <w:pPr>
        <w:spacing w:after="0" w:line="229"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together with such statements.</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Most favoured nation</w:t>
      </w:r>
    </w:p>
    <w:p>
      <w:pPr>
        <w:spacing w:after="0" w:line="229" w:lineRule="exact"/>
        <w:rPr>
          <w:sz w:val="20"/>
          <w:szCs w:val="20"/>
          <w:color w:val="auto"/>
        </w:rPr>
      </w:pPr>
    </w:p>
    <w:p>
      <w:pPr>
        <w:ind w:left="1300" w:right="60" w:hanging="644"/>
        <w:spacing w:after="0" w:line="255" w:lineRule="auto"/>
        <w:tabs>
          <w:tab w:leader="none" w:pos="129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Obligors shall also procure that the Parent shall comply with any and all other financial covenants made or given by the Parent from time to time in favour of other persons to whom any Financial Indebtedness (whether actual or contingent and incurred by way of a loan, facility or other credit agreement with a regulated deposit taking bank) may have arisen after the date of this Agreement (namely, under contracts other than the Finance Documents) and which are more favourable to such other persons than the financial covenants of clause 20.2 (</w:t>
      </w:r>
      <w:r>
        <w:rPr>
          <w:rFonts w:ascii="Arial" w:cs="Arial" w:eastAsia="Arial" w:hAnsi="Arial"/>
          <w:sz w:val="18"/>
          <w:szCs w:val="18"/>
          <w:i w:val="1"/>
          <w:iCs w:val="1"/>
          <w:color w:val="auto"/>
        </w:rPr>
        <w:t>Financial condition</w:t>
      </w:r>
      <w:r>
        <w:rPr>
          <w:rFonts w:ascii="Arial" w:cs="Arial" w:eastAsia="Arial" w:hAnsi="Arial"/>
          <w:sz w:val="18"/>
          <w:szCs w:val="18"/>
          <w:color w:val="auto"/>
        </w:rPr>
        <w:t>) are to the Finance Parties, which other financial covenants shall, in addition to clause 20.2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w:t>
      </w:r>
      <w:r>
        <w:rPr>
          <w:rFonts w:ascii="Arial" w:cs="Arial" w:eastAsia="Arial" w:hAnsi="Arial"/>
          <w:sz w:val="18"/>
          <w:szCs w:val="18"/>
          <w:color w:val="auto"/>
        </w:rPr>
        <w:t>), apply</w:t>
      </w:r>
      <w:r>
        <w:rPr>
          <w:rFonts w:ascii="Arial" w:cs="Arial" w:eastAsia="Arial" w:hAnsi="Arial"/>
          <w:sz w:val="18"/>
          <w:szCs w:val="18"/>
          <w:i w:val="1"/>
          <w:iCs w:val="1"/>
          <w:color w:val="auto"/>
        </w:rPr>
        <w:t xml:space="preserve"> mutatis mutandis </w:t>
      </w:r>
      <w:r>
        <w:rPr>
          <w:rFonts w:ascii="Arial" w:cs="Arial" w:eastAsia="Arial" w:hAnsi="Arial"/>
          <w:sz w:val="18"/>
          <w:szCs w:val="18"/>
          <w:color w:val="auto"/>
        </w:rPr>
        <w:t>as if set out in full herein.</w:t>
      </w:r>
    </w:p>
    <w:p>
      <w:pPr>
        <w:spacing w:after="0" w:line="192" w:lineRule="exact"/>
        <w:rPr>
          <w:rFonts w:ascii="Arial" w:cs="Arial" w:eastAsia="Arial" w:hAnsi="Arial"/>
          <w:sz w:val="18"/>
          <w:szCs w:val="18"/>
          <w:color w:val="auto"/>
        </w:rPr>
      </w:pPr>
    </w:p>
    <w:p>
      <w:pPr>
        <w:ind w:left="1300" w:right="380" w:hanging="644"/>
        <w:spacing w:after="0" w:line="277" w:lineRule="auto"/>
        <w:tabs>
          <w:tab w:leader="none" w:pos="130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Obligors shall notify the Agent from time to time promptly after the Parent makes or gives such other more favourable financial covenants to such other persons.</w:t>
      </w:r>
    </w:p>
    <w:p>
      <w:pPr>
        <w:spacing w:after="0" w:line="170" w:lineRule="exact"/>
        <w:rPr>
          <w:rFonts w:ascii="Arial" w:cs="Arial" w:eastAsia="Arial" w:hAnsi="Arial"/>
          <w:sz w:val="18"/>
          <w:szCs w:val="18"/>
          <w:color w:val="auto"/>
        </w:rPr>
      </w:pPr>
    </w:p>
    <w:p>
      <w:pPr>
        <w:ind w:left="1300" w:hanging="644"/>
        <w:spacing w:after="0" w:line="277" w:lineRule="auto"/>
        <w:tabs>
          <w:tab w:leader="none" w:pos="131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At the request of the Agent (acting on the instructions of the Majority Lenders), the Obligors shall enter into a supplemental agreement or amendments to this Agreement to evidence any changes to this Agreement pursuant to paragraph (a) above.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General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undertakes with each Finance Party that this clause 21 will be complied with throughout the Facility Period.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Authorisations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225"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225" w:lineRule="exact"/>
        <w:rPr>
          <w:sz w:val="20"/>
          <w:szCs w:val="20"/>
          <w:color w:val="auto"/>
        </w:rPr>
      </w:pPr>
    </w:p>
    <w:p>
      <w:pPr>
        <w:ind w:left="1980" w:hanging="676"/>
        <w:spacing w:after="0"/>
        <w:tabs>
          <w:tab w:leader="none" w:pos="19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ensure the legality, validity, enforceability or admissibility in evidence of any Finance Document, Charter Document; and</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carry on its business, where failure to do so has, or might reasonably be expected to have, a Material Adverse Effect.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8" w:name="page319"/>
    <w:bookmarkEnd w:id="318"/>
    <w:p>
      <w:pPr>
        <w:spacing w:after="0"/>
        <w:tabs>
          <w:tab w:leader="none" w:pos="6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Compliance with laws</w:t>
      </w:r>
    </w:p>
    <w:p>
      <w:pPr>
        <w:spacing w:after="0" w:line="229"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Tax Compliance</w:t>
      </w:r>
    </w:p>
    <w:p>
      <w:pPr>
        <w:spacing w:after="0" w:line="229" w:lineRule="exact"/>
        <w:rPr>
          <w:sz w:val="20"/>
          <w:szCs w:val="20"/>
          <w:color w:val="auto"/>
        </w:rPr>
      </w:pPr>
    </w:p>
    <w:p>
      <w:pPr>
        <w:ind w:left="1300" w:right="560" w:hanging="644"/>
        <w:spacing w:after="0" w:line="277" w:lineRule="auto"/>
        <w:tabs>
          <w:tab w:leader="none" w:pos="129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91"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Change of business</w:t>
      </w:r>
    </w:p>
    <w:p>
      <w:pPr>
        <w:spacing w:after="0" w:line="229"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color w:val="auto"/>
        </w:rPr>
        <w:t>Except as approved by the Majority Lenders (such approval not to be unreasonably withheld so long as the Parent remains the Holding Company of all Group Members), or otherwise permitted by the terms of this Agreement, no material change will be made to the general nature of the business or the corporate structure of any of the Obligors or the Group taken as a whole from that carried on or existing at the date of this Agreement, save that any activities involving or undertaken whatsoever within the maritime sector by any Group Member will not be considered a change in the general nature of the business of any of the Obligors or the Group taken as a whole.</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Merger and corporate reconstruction</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Except as approved by the Majority Lenders (such approval not to be unreasonably withheld so long as the Parent remains the Holding Company of all Group Members), no Obligor will enter into any amalgamation, demerger, merger, consolidation, redomiciliation, legal migration or corporate reconstruction (other than an amalgamation, merger or consolidation of a Guarantor where such Guarantor is the surviving entity of the same).</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Further assurance</w:t>
      </w:r>
    </w:p>
    <w:p>
      <w:pPr>
        <w:spacing w:after="0" w:line="229" w:lineRule="exact"/>
        <w:rPr>
          <w:sz w:val="20"/>
          <w:szCs w:val="20"/>
          <w:color w:val="auto"/>
        </w:rPr>
      </w:pPr>
    </w:p>
    <w:p>
      <w:pPr>
        <w:jc w:val="both"/>
        <w:ind w:left="1300" w:right="40" w:hanging="644"/>
        <w:spacing w:after="0" w:line="259" w:lineRule="auto"/>
        <w:tabs>
          <w:tab w:leader="none" w:pos="129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Obligor shall (and the Borrower shall procure that each other Obligor will) promptly do all such acts or execute all such documents (including assignments, transfers, mortgages, charges, notices and instructions) as the Agent may specify (and in such form as the Agent may require acting on the instructions of the Majority Lenders) in favour of the Security Agent or its nominee(s) as provided under each Finance Document, as applicable:</w:t>
      </w:r>
    </w:p>
    <w:p>
      <w:pPr>
        <w:spacing w:after="0" w:line="186" w:lineRule="exact"/>
        <w:rPr>
          <w:rFonts w:ascii="Arial" w:cs="Arial" w:eastAsia="Arial" w:hAnsi="Arial"/>
          <w:sz w:val="18"/>
          <w:szCs w:val="18"/>
          <w:color w:val="auto"/>
        </w:rPr>
      </w:pPr>
    </w:p>
    <w:p>
      <w:pPr>
        <w:ind w:left="1960" w:hanging="656"/>
        <w:spacing w:after="0" w:line="257" w:lineRule="auto"/>
        <w:tabs>
          <w:tab w:leader="none" w:pos="1981"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9" w:name="page320"/>
    <w:bookmarkEnd w:id="319"/>
    <w:p>
      <w:pPr>
        <w:jc w:val="both"/>
        <w:ind w:left="1960" w:right="220" w:hanging="656"/>
        <w:spacing w:after="0" w:line="263" w:lineRule="auto"/>
        <w:tabs>
          <w:tab w:leader="none" w:pos="199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to facilitate the realisation of the assets which are, or are intended to be, the subject of the Security Documents; and/or</w:t>
      </w:r>
    </w:p>
    <w:p>
      <w:pPr>
        <w:spacing w:after="0" w:line="236" w:lineRule="exact"/>
        <w:rPr>
          <w:rFonts w:ascii="Arial" w:cs="Arial" w:eastAsia="Arial" w:hAnsi="Arial"/>
          <w:sz w:val="17"/>
          <w:szCs w:val="17"/>
          <w:color w:val="auto"/>
        </w:rPr>
      </w:pPr>
    </w:p>
    <w:p>
      <w:pPr>
        <w:ind w:left="1960" w:right="840" w:hanging="656"/>
        <w:spacing w:after="0" w:line="277" w:lineRule="auto"/>
        <w:tabs>
          <w:tab w:leader="none" w:pos="197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30.1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70" w:lineRule="exact"/>
        <w:rPr>
          <w:sz w:val="20"/>
          <w:szCs w:val="20"/>
          <w:color w:val="auto"/>
        </w:rPr>
      </w:pPr>
    </w:p>
    <w:p>
      <w:pPr>
        <w:ind w:left="1300" w:right="140" w:hanging="644"/>
        <w:spacing w:after="0" w:line="311" w:lineRule="auto"/>
        <w:tabs>
          <w:tab w:leader="none" w:pos="130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Negative pledge in respect of Charged Property or Borrower’s shares</w:t>
      </w:r>
    </w:p>
    <w:p>
      <w:pPr>
        <w:spacing w:after="0" w:line="229" w:lineRule="exact"/>
        <w:rPr>
          <w:sz w:val="20"/>
          <w:szCs w:val="20"/>
          <w:color w:val="auto"/>
        </w:rPr>
      </w:pPr>
    </w:p>
    <w:p>
      <w:pPr>
        <w:ind w:left="1300" w:hanging="644"/>
        <w:spacing w:after="0"/>
        <w:tabs>
          <w:tab w:leader="none" w:pos="130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Except for Permitted Security Interests, no Obligor will grant or allow to exist any Security Interest over any Charged Property.</w:t>
      </w:r>
    </w:p>
    <w:p>
      <w:pPr>
        <w:spacing w:after="0" w:line="236" w:lineRule="exact"/>
        <w:rPr>
          <w:rFonts w:ascii="Arial" w:cs="Arial" w:eastAsia="Arial" w:hAnsi="Arial"/>
          <w:sz w:val="17"/>
          <w:szCs w:val="17"/>
          <w:color w:val="auto"/>
        </w:rPr>
      </w:pPr>
    </w:p>
    <w:p>
      <w:pPr>
        <w:jc w:val="both"/>
        <w:ind w:left="1300" w:hanging="644"/>
        <w:spacing w:after="0" w:line="263" w:lineRule="auto"/>
        <w:tabs>
          <w:tab w:leader="none" w:pos="130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Except under any share security in respect of the Borrower granted to secure the Existing Indebtedness existing up to the Utilisation Date, no Obligor will grant or allow to exist any Security Interest over any of the shares in the Borrower or over any of the rights deriving from or related to such shares.</w:t>
      </w:r>
    </w:p>
    <w:p>
      <w:pPr>
        <w:spacing w:after="0" w:line="183" w:lineRule="exact"/>
        <w:rPr>
          <w:rFonts w:ascii="Arial" w:cs="Arial" w:eastAsia="Arial" w:hAnsi="Arial"/>
          <w:sz w:val="18"/>
          <w:szCs w:val="18"/>
          <w:color w:val="auto"/>
        </w:rPr>
      </w:pPr>
    </w:p>
    <w:p>
      <w:pPr>
        <w:ind w:left="1300" w:right="40" w:hanging="644"/>
        <w:spacing w:after="0" w:line="277" w:lineRule="auto"/>
        <w:tabs>
          <w:tab w:leader="none" w:pos="131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Environmental matters</w:t>
      </w:r>
    </w:p>
    <w:p>
      <w:pPr>
        <w:spacing w:after="0" w:line="229" w:lineRule="exact"/>
        <w:rPr>
          <w:sz w:val="20"/>
          <w:szCs w:val="20"/>
          <w:color w:val="auto"/>
        </w:rPr>
      </w:pPr>
    </w:p>
    <w:p>
      <w:pPr>
        <w:ind w:left="1300" w:hanging="644"/>
        <w:spacing w:after="0"/>
        <w:tabs>
          <w:tab w:leader="none" w:pos="13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Obligors will notify the Agent as soon as reasonably practicable of any Environmental Claim being made:</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against the Borrower or the Ship;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91"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against any other Group Member or any other Fleet Vessel or the owner of any other Fleet Vessel or any Manager which, if successful to any extent, might reasonably be expected to have a Material Adverse Effect,</w:t>
      </w:r>
    </w:p>
    <w:p>
      <w:pPr>
        <w:spacing w:after="0" w:line="170" w:lineRule="exact"/>
        <w:rPr>
          <w:sz w:val="20"/>
          <w:szCs w:val="20"/>
          <w:color w:val="auto"/>
        </w:rPr>
      </w:pPr>
    </w:p>
    <w:p>
      <w:pPr>
        <w:ind w:left="1300" w:right="660"/>
        <w:spacing w:after="0" w:line="342" w:lineRule="auto"/>
        <w:rPr>
          <w:sz w:val="20"/>
          <w:szCs w:val="20"/>
          <w:color w:val="auto"/>
        </w:rPr>
      </w:pPr>
      <w:r>
        <w:rPr>
          <w:rFonts w:ascii="Arial" w:cs="Arial" w:eastAsia="Arial" w:hAnsi="Arial"/>
          <w:sz w:val="16"/>
          <w:szCs w:val="16"/>
          <w:color w:val="auto"/>
        </w:rPr>
        <w:t>and of any Environmental Incident which may give rise to any such a claim, and will be kept regularly and promptly informed in reasonable detail of the nature of, and response to, any such Environmental Incident and the defence to any such claim.</w:t>
      </w:r>
    </w:p>
    <w:p>
      <w:pPr>
        <w:spacing w:after="0" w:line="124" w:lineRule="exact"/>
        <w:rPr>
          <w:sz w:val="20"/>
          <w:szCs w:val="20"/>
          <w:color w:val="auto"/>
        </w:rPr>
      </w:pPr>
    </w:p>
    <w:p>
      <w:pPr>
        <w:ind w:left="1300" w:right="60" w:hanging="644"/>
        <w:spacing w:after="0" w:line="308" w:lineRule="auto"/>
        <w:tabs>
          <w:tab w:leader="none" w:pos="130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Pari Passu</w:t>
      </w:r>
    </w:p>
    <w:p>
      <w:pPr>
        <w:spacing w:after="0" w:line="229" w:lineRule="exact"/>
        <w:rPr>
          <w:sz w:val="20"/>
          <w:szCs w:val="20"/>
          <w:color w:val="auto"/>
        </w:rPr>
      </w:pPr>
    </w:p>
    <w:p>
      <w:pPr>
        <w:ind w:left="660" w:right="40"/>
        <w:spacing w:after="0" w:line="275" w:lineRule="auto"/>
        <w:rPr>
          <w:sz w:val="20"/>
          <w:szCs w:val="20"/>
          <w:color w:val="auto"/>
        </w:rPr>
      </w:pPr>
      <w:r>
        <w:rPr>
          <w:rFonts w:ascii="Arial" w:cs="Arial" w:eastAsia="Arial" w:hAnsi="Arial"/>
          <w:sz w:val="17"/>
          <w:szCs w:val="17"/>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0" w:name="page321"/>
    <w:bookmarkEnd w:id="320"/>
    <w:p>
      <w:pPr>
        <w:spacing w:after="0"/>
        <w:tabs>
          <w:tab w:leader="none" w:pos="620" w:val="left"/>
        </w:tabs>
        <w:rPr>
          <w:sz w:val="20"/>
          <w:szCs w:val="20"/>
          <w:color w:val="auto"/>
        </w:rPr>
      </w:pPr>
      <w:r>
        <w:rPr>
          <w:rFonts w:ascii="Arial" w:cs="Arial" w:eastAsia="Arial" w:hAnsi="Arial"/>
          <w:sz w:val="18"/>
          <w:szCs w:val="18"/>
          <w:b w:val="1"/>
          <w:bCs w:val="1"/>
          <w:color w:val="auto"/>
        </w:rPr>
        <w:t>21.11</w:t>
      </w:r>
      <w:r>
        <w:rPr>
          <w:sz w:val="20"/>
          <w:szCs w:val="20"/>
          <w:color w:val="auto"/>
        </w:rPr>
        <w:tab/>
      </w:r>
      <w:r>
        <w:rPr>
          <w:rFonts w:ascii="Arial" w:cs="Arial" w:eastAsia="Arial" w:hAnsi="Arial"/>
          <w:sz w:val="15"/>
          <w:szCs w:val="15"/>
          <w:b w:val="1"/>
          <w:bCs w:val="1"/>
          <w:color w:val="auto"/>
        </w:rPr>
        <w:t>Sanctions</w:t>
      </w:r>
    </w:p>
    <w:p>
      <w:pPr>
        <w:spacing w:after="0" w:line="229" w:lineRule="exact"/>
        <w:rPr>
          <w:sz w:val="20"/>
          <w:szCs w:val="20"/>
          <w:color w:val="auto"/>
        </w:rPr>
      </w:pPr>
    </w:p>
    <w:p>
      <w:pPr>
        <w:ind w:left="1300" w:hanging="644"/>
        <w:spacing w:after="0" w:line="263" w:lineRule="auto"/>
        <w:tabs>
          <w:tab w:leader="none" w:pos="129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 available to, or for the benefit of, a Prohibited Person or permit or authorise any such proceeds to be applied, directly or indirectly, in a manner or for a purpose prohibited by Sanctions or which would put any Finance Party in breach of any Sanctions.</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of the Group Members nor any of their Affiliates will:</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225" w:lineRule="exact"/>
        <w:rPr>
          <w:rFonts w:ascii="Arial" w:cs="Arial" w:eastAsia="Arial" w:hAnsi="Arial"/>
          <w:sz w:val="18"/>
          <w:szCs w:val="18"/>
          <w:color w:val="auto"/>
        </w:rPr>
      </w:pPr>
    </w:p>
    <w:p>
      <w:pPr>
        <w:ind w:left="1960" w:right="100" w:hanging="656"/>
        <w:spacing w:after="0" w:line="277" w:lineRule="auto"/>
        <w:tabs>
          <w:tab w:leader="none" w:pos="199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ind w:left="1960" w:right="120" w:hanging="656"/>
        <w:spacing w:after="0" w:line="259" w:lineRule="auto"/>
        <w:tabs>
          <w:tab w:leader="none" w:pos="20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will prevent the Ship from being used, directly or indirectly:</w:t>
      </w:r>
    </w:p>
    <w:p>
      <w:pPr>
        <w:spacing w:after="0" w:line="225" w:lineRule="exact"/>
        <w:rPr>
          <w:rFonts w:ascii="Arial" w:cs="Arial" w:eastAsia="Arial" w:hAnsi="Arial"/>
          <w:sz w:val="18"/>
          <w:szCs w:val="18"/>
          <w:color w:val="auto"/>
        </w:rPr>
      </w:pPr>
    </w:p>
    <w:p>
      <w:pPr>
        <w:ind w:left="1960" w:right="360" w:hanging="656"/>
        <w:spacing w:after="0" w:line="263" w:lineRule="auto"/>
        <w:tabs>
          <w:tab w:leader="none" w:pos="198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 otherwise provided directly or indirectly to any Prohibited Person) if such use would be in breach of Sanctions; and/or</w:t>
      </w:r>
    </w:p>
    <w:p>
      <w:pPr>
        <w:spacing w:after="0" w:line="183" w:lineRule="exact"/>
        <w:rPr>
          <w:rFonts w:ascii="Arial" w:cs="Arial" w:eastAsia="Arial" w:hAnsi="Arial"/>
          <w:sz w:val="18"/>
          <w:szCs w:val="18"/>
          <w:color w:val="auto"/>
        </w:rPr>
      </w:pPr>
    </w:p>
    <w:p>
      <w:pPr>
        <w:ind w:left="1960" w:right="120" w:hanging="656"/>
        <w:spacing w:after="0" w:line="277" w:lineRule="auto"/>
        <w:tabs>
          <w:tab w:leader="none" w:pos="199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70" w:lineRule="exact"/>
        <w:rPr>
          <w:rFonts w:ascii="Arial" w:cs="Arial" w:eastAsia="Arial" w:hAnsi="Arial"/>
          <w:sz w:val="18"/>
          <w:szCs w:val="18"/>
          <w:color w:val="auto"/>
        </w:rPr>
      </w:pPr>
    </w:p>
    <w:p>
      <w:pPr>
        <w:ind w:left="1960" w:right="280" w:hanging="656"/>
        <w:spacing w:after="0" w:line="277" w:lineRule="auto"/>
        <w:tabs>
          <w:tab w:leader="none" w:pos="20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70" w:lineRule="exact"/>
        <w:rPr>
          <w:rFonts w:ascii="Arial" w:cs="Arial" w:eastAsia="Arial" w:hAnsi="Arial"/>
          <w:sz w:val="18"/>
          <w:szCs w:val="18"/>
          <w:color w:val="auto"/>
        </w:rPr>
      </w:pPr>
    </w:p>
    <w:p>
      <w:pPr>
        <w:ind w:left="1300" w:right="340" w:hanging="644"/>
        <w:spacing w:after="0" w:line="311" w:lineRule="auto"/>
        <w:tabs>
          <w:tab w:leader="none" w:pos="1307"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Borrower shall procure that that each contract in respect of a charter commitment for the Ship (including, without limitation, any Charter) shall contain, for the benefit of the Borrower, language which gives effect to the provisions as regards Sanctions under this Agreement and which permits refusal of employment or voyage orders if compliance would result in a breach of Sanctions.</w:t>
      </w:r>
    </w:p>
    <w:p>
      <w:pPr>
        <w:spacing w:after="0" w:line="148" w:lineRule="exact"/>
        <w:rPr>
          <w:rFonts w:ascii="Arial" w:cs="Arial" w:eastAsia="Arial" w:hAnsi="Arial"/>
          <w:sz w:val="16"/>
          <w:szCs w:val="16"/>
          <w:color w:val="auto"/>
        </w:rPr>
      </w:pPr>
    </w:p>
    <w:p>
      <w:pPr>
        <w:ind w:left="1300" w:right="140" w:hanging="644"/>
        <w:spacing w:after="0" w:line="301" w:lineRule="auto"/>
        <w:tabs>
          <w:tab w:leader="none" w:pos="1311"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Obligors shall procure that no proceeds, funds or benefit from any activity or dealing with a Prohibited Person are used in discharging any obligation due or owing to any Finance Party or Account Bank or are credited to any bank account held with a Finance Party or Account Bank (including without limitation, an Account), and that no payment is effected, whether to discharge any obligation due or owing to such party or for any other purpose, through the use of any bank account held with any Finance Party or Account Bank.</w:t>
      </w:r>
    </w:p>
    <w:p>
      <w:pPr>
        <w:spacing w:after="0" w:line="157" w:lineRule="exact"/>
        <w:rPr>
          <w:rFonts w:ascii="Arial" w:cs="Arial" w:eastAsia="Arial" w:hAnsi="Arial"/>
          <w:sz w:val="16"/>
          <w:szCs w:val="16"/>
          <w:color w:val="auto"/>
        </w:rPr>
      </w:pPr>
    </w:p>
    <w:p>
      <w:pPr>
        <w:ind w:left="1300" w:right="120" w:hanging="644"/>
        <w:spacing w:after="0" w:line="275" w:lineRule="auto"/>
        <w:tabs>
          <w:tab w:leader="none" w:pos="1304" w:val="left"/>
        </w:tabs>
        <w:numPr>
          <w:ilvl w:val="0"/>
          <w:numId w:val="371"/>
        </w:numPr>
        <w:rPr>
          <w:rFonts w:ascii="Arial" w:cs="Arial" w:eastAsia="Arial" w:hAnsi="Arial"/>
          <w:sz w:val="17"/>
          <w:szCs w:val="17"/>
          <w:color w:val="auto"/>
        </w:rPr>
      </w:pPr>
      <w:r>
        <w:rPr>
          <w:rFonts w:ascii="Arial" w:cs="Arial" w:eastAsia="Arial" w:hAnsi="Arial"/>
          <w:sz w:val="17"/>
          <w:szCs w:val="17"/>
          <w:color w:val="auto"/>
        </w:rPr>
        <w:t>Without prejudice to the rights of the Finance Parties under any other provisions of this Agreement and the other Finance Documents, if the Borrower finds out that its Ship, without its knowledge, has been sold, chartered, conferred, leased or otherwise provided directly or indirectly to any Prohibited Person in breach of Sanctions, it shall terminate as soon as possible and in any case within thirty (30) days after the day it finds out that any of the events described in this clause has occurred the relationship with the Prohibited Person under the premise that the Finance Parties may commit a breach of law by this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1" w:name="page322"/>
    <w:bookmarkEnd w:id="321"/>
    <w:p>
      <w:pPr>
        <w:ind w:left="644"/>
        <w:spacing w:after="0"/>
        <w:rPr>
          <w:sz w:val="20"/>
          <w:szCs w:val="20"/>
          <w:color w:val="auto"/>
        </w:rPr>
      </w:pPr>
      <w:r>
        <w:rPr>
          <w:rFonts w:ascii="Arial" w:cs="Arial" w:eastAsia="Arial" w:hAnsi="Arial"/>
          <w:sz w:val="18"/>
          <w:szCs w:val="18"/>
          <w:color w:val="auto"/>
        </w:rPr>
        <w:t>behaviour. In this case the Borrower will also inform the Finance Parties immediately upon becoming so aware.</w:t>
      </w:r>
    </w:p>
    <w:p>
      <w:pPr>
        <w:spacing w:after="0" w:line="225" w:lineRule="exact"/>
        <w:rPr>
          <w:sz w:val="20"/>
          <w:szCs w:val="20"/>
          <w:color w:val="auto"/>
        </w:rPr>
      </w:pPr>
    </w:p>
    <w:p>
      <w:pPr>
        <w:ind w:left="644" w:right="300" w:hanging="644"/>
        <w:spacing w:after="0" w:line="263" w:lineRule="auto"/>
        <w:tabs>
          <w:tab w:leader="none" w:pos="66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Borrower will provide the Finance Parties upon their written request with all relevant documentation related to the Ship, and the transported goods which a Finance Party is required to disclose to a regulatory authority of any Sanctions Authority pursuant to any Sanctions.</w:t>
      </w:r>
    </w:p>
    <w:p>
      <w:pPr>
        <w:spacing w:after="0" w:line="183" w:lineRule="exact"/>
        <w:rPr>
          <w:rFonts w:ascii="Arial" w:cs="Arial" w:eastAsia="Arial" w:hAnsi="Arial"/>
          <w:sz w:val="18"/>
          <w:szCs w:val="18"/>
          <w:color w:val="auto"/>
        </w:rPr>
      </w:pPr>
    </w:p>
    <w:p>
      <w:pPr>
        <w:jc w:val="both"/>
        <w:ind w:left="644" w:right="40" w:hanging="644"/>
        <w:spacing w:after="0" w:line="263" w:lineRule="auto"/>
        <w:tabs>
          <w:tab w:leader="none" w:pos="65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183" w:lineRule="exact"/>
        <w:rPr>
          <w:rFonts w:ascii="Arial" w:cs="Arial" w:eastAsia="Arial" w:hAnsi="Arial"/>
          <w:sz w:val="18"/>
          <w:szCs w:val="18"/>
          <w:color w:val="auto"/>
        </w:rPr>
      </w:pPr>
    </w:p>
    <w:p>
      <w:pPr>
        <w:ind w:left="664" w:hanging="664"/>
        <w:spacing w:after="0"/>
        <w:tabs>
          <w:tab w:leader="none" w:pos="66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For the purposes of this clause 21.11 the following words shall have the following meanings:</w:t>
      </w:r>
    </w:p>
    <w:p>
      <w:pPr>
        <w:spacing w:after="0" w:line="221"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w:t>
      </w:r>
    </w:p>
    <w:p>
      <w:pPr>
        <w:spacing w:after="0" w:line="229" w:lineRule="exact"/>
        <w:rPr>
          <w:sz w:val="20"/>
          <w:szCs w:val="20"/>
          <w:color w:val="auto"/>
        </w:rPr>
      </w:pPr>
    </w:p>
    <w:p>
      <w:pPr>
        <w:ind w:left="1284" w:hanging="636"/>
        <w:spacing w:after="0"/>
        <w:tabs>
          <w:tab w:leader="none" w:pos="128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listed on, or owned or controlled by a person, entity or party listed on any Sanctions List;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located, berthed or anchored at ports in breach of Sanctions;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acting or purporting to act on behalf of any of the parties listed in paragraph (a) above;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with which a Finance Party is prohibited from dealing or otherwise engaging in any transaction pursuant to any Sanctions; or</w:t>
      </w:r>
    </w:p>
    <w:p>
      <w:pPr>
        <w:spacing w:after="0" w:line="248" w:lineRule="exact"/>
        <w:rPr>
          <w:rFonts w:ascii="Arial" w:cs="Arial" w:eastAsia="Arial" w:hAnsi="Arial"/>
          <w:sz w:val="16"/>
          <w:szCs w:val="16"/>
          <w:color w:val="auto"/>
        </w:rPr>
      </w:pPr>
    </w:p>
    <w:p>
      <w:pPr>
        <w:ind w:left="1304" w:hanging="656"/>
        <w:spacing w:after="0"/>
        <w:tabs>
          <w:tab w:leader="none" w:pos="130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with whom transactions are prohibited or restricted under:</w:t>
      </w:r>
    </w:p>
    <w:p>
      <w:pPr>
        <w:spacing w:after="0" w:line="225" w:lineRule="exact"/>
        <w:rPr>
          <w:rFonts w:ascii="Arial" w:cs="Arial" w:eastAsia="Arial" w:hAnsi="Arial"/>
          <w:sz w:val="18"/>
          <w:szCs w:val="18"/>
          <w:color w:val="auto"/>
        </w:rPr>
      </w:pPr>
    </w:p>
    <w:p>
      <w:pPr>
        <w:ind w:left="1964" w:hanging="668"/>
        <w:spacing w:after="0"/>
        <w:tabs>
          <w:tab w:leader="none" w:pos="196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OFAC; or</w:t>
      </w:r>
    </w:p>
    <w:p>
      <w:pPr>
        <w:spacing w:after="0" w:line="225" w:lineRule="exact"/>
        <w:rPr>
          <w:rFonts w:ascii="Arial" w:cs="Arial" w:eastAsia="Arial" w:hAnsi="Arial"/>
          <w:sz w:val="18"/>
          <w:szCs w:val="18"/>
          <w:color w:val="auto"/>
        </w:rPr>
      </w:pPr>
    </w:p>
    <w:p>
      <w:pPr>
        <w:ind w:left="1944" w:right="40" w:hanging="648"/>
        <w:spacing w:after="0" w:line="259" w:lineRule="auto"/>
        <w:tabs>
          <w:tab w:leader="none" w:pos="195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other United States of America government sanctions,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86" w:lineRule="exact"/>
        <w:rPr>
          <w:rFonts w:ascii="Arial" w:cs="Arial" w:eastAsia="Arial" w:hAnsi="Arial"/>
          <w:sz w:val="18"/>
          <w:szCs w:val="18"/>
          <w:color w:val="auto"/>
        </w:rPr>
      </w:pPr>
    </w:p>
    <w:p>
      <w:pPr>
        <w:ind w:left="1944" w:hanging="648"/>
        <w:spacing w:after="0" w:line="259" w:lineRule="auto"/>
        <w:tabs>
          <w:tab w:leader="none" w:pos="195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86" w:lineRule="exact"/>
        <w:rPr>
          <w:rFonts w:ascii="Arial" w:cs="Arial" w:eastAsia="Arial" w:hAnsi="Arial"/>
          <w:sz w:val="18"/>
          <w:szCs w:val="18"/>
          <w:color w:val="auto"/>
        </w:rPr>
      </w:pPr>
    </w:p>
    <w:p>
      <w:pPr>
        <w:ind w:left="1944" w:right="160" w:hanging="648"/>
        <w:spacing w:after="0" w:line="277" w:lineRule="auto"/>
        <w:tabs>
          <w:tab w:leader="none" w:pos="196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 and</w:t>
      </w:r>
    </w:p>
    <w:p>
      <w:pPr>
        <w:spacing w:after="0" w:line="170" w:lineRule="exact"/>
        <w:rPr>
          <w:rFonts w:ascii="Arial" w:cs="Arial" w:eastAsia="Arial" w:hAnsi="Arial"/>
          <w:sz w:val="18"/>
          <w:szCs w:val="18"/>
          <w:color w:val="auto"/>
        </w:rPr>
      </w:pPr>
    </w:p>
    <w:p>
      <w:pPr>
        <w:ind w:left="1944" w:right="860" w:hanging="648"/>
        <w:spacing w:after="0" w:line="277" w:lineRule="auto"/>
        <w:tabs>
          <w:tab w:leader="none" w:pos="195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w:t>
      </w:r>
    </w:p>
    <w:p>
      <w:pPr>
        <w:spacing w:after="0" w:line="170"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each as amended from time to time,</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and including any person controlled by or a Subsidiary or other Affiliate of any such person.</w:t>
      </w:r>
    </w:p>
    <w:p>
      <w:pPr>
        <w:spacing w:after="0" w:line="22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24"/>
          </w:cols>
          <w:pgMar w:left="976" w:top="341" w:right="399" w:bottom="1440" w:gutter="0" w:footer="0" w:header="0"/>
        </w:sectPr>
      </w:pPr>
    </w:p>
    <w:bookmarkStart w:id="322" w:name="page323"/>
    <w:bookmarkEnd w:id="322"/>
    <w:p>
      <w:pPr>
        <w:ind w:left="1300" w:right="100"/>
        <w:spacing w:after="0" w:line="266"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freezing provisions, embargoes, prohibitions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relating to trading, doing business, investment, exporting, financing or making assets available (or other activities similar to or connected with any of the foregoing):</w:t>
      </w:r>
    </w:p>
    <w:p>
      <w:pPr>
        <w:spacing w:after="0" w:line="180" w:lineRule="exact"/>
        <w:rPr>
          <w:sz w:val="20"/>
          <w:szCs w:val="20"/>
          <w:color w:val="auto"/>
        </w:rPr>
      </w:pPr>
    </w:p>
    <w:p>
      <w:pPr>
        <w:ind w:left="1960" w:hanging="656"/>
        <w:spacing w:after="0" w:line="277" w:lineRule="auto"/>
        <w:tabs>
          <w:tab w:leader="none" w:pos="195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administered, enacted, imposed by law or regulation or enforced by any Sanctions Authority, in relation to which any Obligor or other Group Member or Affiliate of the same is legally bound to comply;</w:t>
      </w:r>
    </w:p>
    <w:p>
      <w:pPr>
        <w:spacing w:after="0" w:line="170" w:lineRule="exact"/>
        <w:rPr>
          <w:rFonts w:ascii="Arial" w:cs="Arial" w:eastAsia="Arial" w:hAnsi="Arial"/>
          <w:sz w:val="18"/>
          <w:szCs w:val="18"/>
          <w:color w:val="auto"/>
        </w:rPr>
      </w:pPr>
    </w:p>
    <w:p>
      <w:pPr>
        <w:ind w:left="1960" w:hanging="656"/>
        <w:spacing w:after="0" w:line="277" w:lineRule="auto"/>
        <w:tabs>
          <w:tab w:leader="none" w:pos="196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otherwise imposed by any law or regulation by which any Obligor or other Group Member or any Affiliate of the same is bound to comply.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9" w:lineRule="exact"/>
        <w:rPr>
          <w:sz w:val="20"/>
          <w:szCs w:val="20"/>
          <w:color w:val="auto"/>
        </w:rPr>
      </w:pPr>
    </w:p>
    <w:p>
      <w:pPr>
        <w:ind w:left="1940" w:hanging="636"/>
        <w:spacing w:after="0"/>
        <w:tabs>
          <w:tab w:leader="none" w:pos="19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government of the Hellenic Republic;</w:t>
      </w:r>
    </w:p>
    <w:p>
      <w:pPr>
        <w:spacing w:after="0" w:line="225" w:lineRule="exact"/>
        <w:rPr>
          <w:sz w:val="20"/>
          <w:szCs w:val="20"/>
          <w:color w:val="auto"/>
        </w:rPr>
      </w:pPr>
    </w:p>
    <w:p>
      <w:pPr>
        <w:ind w:left="1940" w:hanging="636"/>
        <w:spacing w:after="0"/>
        <w:tabs>
          <w:tab w:leader="none" w:pos="19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United Nations or its Security Council;</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United Kingdom;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European Union (and/or any member state thereof) or the Council of the European Union,</w:t>
      </w:r>
    </w:p>
    <w:p>
      <w:pPr>
        <w:spacing w:after="0" w:line="225" w:lineRule="exact"/>
        <w:rPr>
          <w:sz w:val="20"/>
          <w:szCs w:val="20"/>
          <w:color w:val="auto"/>
        </w:rPr>
      </w:pPr>
    </w:p>
    <w:p>
      <w:pPr>
        <w:ind w:left="1300" w:right="80"/>
        <w:spacing w:after="0" w:line="263" w:lineRule="auto"/>
        <w:rPr>
          <w:sz w:val="20"/>
          <w:szCs w:val="20"/>
          <w:color w:val="auto"/>
        </w:rPr>
      </w:pPr>
      <w:r>
        <w:rPr>
          <w:rFonts w:ascii="Arial" w:cs="Arial" w:eastAsia="Arial" w:hAnsi="Arial"/>
          <w:sz w:val="18"/>
          <w:szCs w:val="18"/>
          <w:color w:val="auto"/>
        </w:rPr>
        <w:t>and includes any relevant governmental institution, agency or related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and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w:t>
      </w:r>
    </w:p>
    <w:p>
      <w:pPr>
        <w:spacing w:after="0" w:line="180" w:lineRule="exact"/>
        <w:rPr>
          <w:sz w:val="20"/>
          <w:szCs w:val="20"/>
          <w:color w:val="auto"/>
        </w:rPr>
      </w:pPr>
    </w:p>
    <w:p>
      <w:pPr>
        <w:ind w:left="1300" w:right="20"/>
        <w:spacing w:after="0" w:line="261" w:lineRule="auto"/>
        <w:rPr>
          <w:sz w:val="20"/>
          <w:szCs w:val="20"/>
          <w:color w:val="auto"/>
        </w:rPr>
      </w:pPr>
      <w:r>
        <w:rPr>
          <w:rFonts w:ascii="Arial" w:cs="Arial" w:eastAsia="Arial" w:hAnsi="Arial"/>
          <w:sz w:val="18"/>
          <w:szCs w:val="18"/>
          <w:b w:val="1"/>
          <w:bCs w:val="1"/>
          <w:color w:val="auto"/>
        </w:rPr>
        <w:t xml:space="preserve">Sanctions List </w:t>
      </w:r>
      <w:r>
        <w:rPr>
          <w:rFonts w:ascii="Arial" w:cs="Arial" w:eastAsia="Arial" w:hAnsi="Arial"/>
          <w:sz w:val="18"/>
          <w:szCs w:val="18"/>
          <w:color w:val="auto"/>
        </w:rPr>
        <w:t>Specially Designated Nationals and Blocked Persons” list issued by OFAC, the “Consolidated List of Financial Sanctions</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and Investment Ban List” issued by HMT, the Consolidated list of persons, groups and entities subject to European Union financial sanctions and the United Nations or any similar list issued or maintained or made public by any of the Sanctions Authorities, as applicable.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21.12</w:t>
      </w:r>
      <w:r>
        <w:rPr>
          <w:sz w:val="20"/>
          <w:szCs w:val="20"/>
          <w:color w:val="auto"/>
        </w:rPr>
        <w:tab/>
      </w:r>
      <w:r>
        <w:rPr>
          <w:rFonts w:ascii="Arial" w:cs="Arial" w:eastAsia="Arial" w:hAnsi="Arial"/>
          <w:sz w:val="16"/>
          <w:szCs w:val="16"/>
          <w:b w:val="1"/>
          <w:bCs w:val="1"/>
          <w:color w:val="auto"/>
        </w:rPr>
        <w:t>Borrower’s own account</w:t>
      </w:r>
    </w:p>
    <w:p>
      <w:pPr>
        <w:spacing w:after="0" w:line="22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21.13</w:t>
      </w:r>
      <w:r>
        <w:rPr>
          <w:sz w:val="20"/>
          <w:szCs w:val="20"/>
          <w:color w:val="auto"/>
        </w:rPr>
        <w:tab/>
      </w:r>
      <w:r>
        <w:rPr>
          <w:rFonts w:ascii="Arial" w:cs="Arial" w:eastAsia="Arial" w:hAnsi="Arial"/>
          <w:sz w:val="15"/>
          <w:szCs w:val="15"/>
          <w:b w:val="1"/>
          <w:bCs w:val="1"/>
          <w:color w:val="auto"/>
        </w:rPr>
        <w:t>Inspection</w:t>
      </w:r>
    </w:p>
    <w:p>
      <w:pPr>
        <w:spacing w:after="0" w:line="229" w:lineRule="exact"/>
        <w:rPr>
          <w:sz w:val="20"/>
          <w:szCs w:val="20"/>
          <w:color w:val="auto"/>
        </w:rPr>
      </w:pPr>
    </w:p>
    <w:p>
      <w:pPr>
        <w:ind w:left="660" w:right="180"/>
        <w:spacing w:after="0" w:line="311" w:lineRule="auto"/>
        <w:rPr>
          <w:sz w:val="20"/>
          <w:szCs w:val="20"/>
          <w:color w:val="auto"/>
        </w:rPr>
      </w:pPr>
      <w:r>
        <w:rPr>
          <w:rFonts w:ascii="Arial" w:cs="Arial" w:eastAsia="Arial" w:hAnsi="Arial"/>
          <w:sz w:val="16"/>
          <w:szCs w:val="16"/>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21.14</w:t>
      </w:r>
      <w:r>
        <w:rPr>
          <w:sz w:val="20"/>
          <w:szCs w:val="20"/>
          <w:color w:val="auto"/>
        </w:rPr>
        <w:tab/>
      </w:r>
      <w:r>
        <w:rPr>
          <w:rFonts w:ascii="Arial" w:cs="Arial" w:eastAsia="Arial" w:hAnsi="Arial"/>
          <w:sz w:val="16"/>
          <w:szCs w:val="16"/>
          <w:b w:val="1"/>
          <w:bCs w:val="1"/>
          <w:color w:val="auto"/>
        </w:rPr>
        <w:t>Bribery and corruption</w:t>
      </w:r>
    </w:p>
    <w:p>
      <w:pPr>
        <w:spacing w:after="0" w:line="229" w:lineRule="exact"/>
        <w:rPr>
          <w:sz w:val="20"/>
          <w:szCs w:val="20"/>
          <w:color w:val="auto"/>
        </w:rPr>
      </w:pPr>
    </w:p>
    <w:p>
      <w:pPr>
        <w:ind w:left="5540" w:right="2980" w:hanging="4884"/>
        <w:spacing w:after="0" w:line="527" w:lineRule="auto"/>
        <w:tabs>
          <w:tab w:leader="none" w:pos="130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 Obligor shall (and each Obligor shall procure that no other Group Member shall) engage in: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3" w:name="page324"/>
    <w:bookmarkEnd w:id="323"/>
    <w:p>
      <w:pPr>
        <w:ind w:left="1304" w:hanging="656"/>
        <w:spacing w:after="0" w:line="277" w:lineRule="auto"/>
        <w:tabs>
          <w:tab w:leader="none" w:pos="132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70" w:lineRule="exact"/>
        <w:rPr>
          <w:rFonts w:ascii="Arial" w:cs="Arial" w:eastAsia="Arial" w:hAnsi="Arial"/>
          <w:sz w:val="18"/>
          <w:szCs w:val="18"/>
          <w:color w:val="auto"/>
        </w:rPr>
      </w:pPr>
    </w:p>
    <w:p>
      <w:pPr>
        <w:ind w:left="1324" w:hanging="676"/>
        <w:spacing w:after="0"/>
        <w:tabs>
          <w:tab w:leader="none" w:pos="132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225" w:lineRule="exact"/>
        <w:rPr>
          <w:rFonts w:ascii="Arial" w:cs="Arial" w:eastAsia="Arial" w:hAnsi="Arial"/>
          <w:sz w:val="18"/>
          <w:szCs w:val="18"/>
          <w:color w:val="auto"/>
        </w:rPr>
      </w:pPr>
    </w:p>
    <w:p>
      <w:pPr>
        <w:ind w:left="1344" w:hanging="696"/>
        <w:spacing w:after="0"/>
        <w:tabs>
          <w:tab w:leader="none" w:pos="134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225" w:lineRule="exact"/>
        <w:rPr>
          <w:rFonts w:ascii="Arial" w:cs="Arial" w:eastAsia="Arial" w:hAnsi="Arial"/>
          <w:sz w:val="18"/>
          <w:szCs w:val="18"/>
          <w:color w:val="auto"/>
        </w:rPr>
      </w:pPr>
    </w:p>
    <w:p>
      <w:pPr>
        <w:jc w:val="both"/>
        <w:ind w:left="644" w:right="40" w:hanging="644"/>
        <w:spacing w:after="0" w:line="259" w:lineRule="auto"/>
        <w:tabs>
          <w:tab w:leader="none" w:pos="65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(and each Obligor shall procure that no other Group Member shall) directly or indirectly use the proceeds of any Facility for any purpose which would breach or might breach the Bribery Act 2010 or the United States Foreign Corrupt Practices Act of 1977 (each as amended and in force) or any other applicable anti-corruption laws and regulations.</w:t>
      </w:r>
    </w:p>
    <w:p>
      <w:pPr>
        <w:spacing w:after="0" w:line="186" w:lineRule="exact"/>
        <w:rPr>
          <w:rFonts w:ascii="Arial" w:cs="Arial" w:eastAsia="Arial" w:hAnsi="Arial"/>
          <w:sz w:val="18"/>
          <w:szCs w:val="18"/>
          <w:color w:val="auto"/>
        </w:rPr>
      </w:pPr>
    </w:p>
    <w:p>
      <w:pPr>
        <w:ind w:left="664" w:hanging="664"/>
        <w:spacing w:after="0"/>
        <w:tabs>
          <w:tab w:leader="none" w:pos="66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Each Obligor shall (and each Obligor shall procure that each Group Member shall):</w:t>
      </w:r>
    </w:p>
    <w:p>
      <w:pPr>
        <w:spacing w:after="0" w:line="225" w:lineRule="exact"/>
        <w:rPr>
          <w:rFonts w:ascii="Arial" w:cs="Arial" w:eastAsia="Arial" w:hAnsi="Arial"/>
          <w:sz w:val="18"/>
          <w:szCs w:val="18"/>
          <w:color w:val="auto"/>
        </w:rPr>
      </w:pPr>
    </w:p>
    <w:p>
      <w:pPr>
        <w:ind w:left="1304" w:right="480" w:hanging="656"/>
        <w:spacing w:after="0" w:line="277" w:lineRule="auto"/>
        <w:tabs>
          <w:tab w:leader="none" w:pos="132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conduct its businesses in compliance with all applicable anti-corruption law and regulations (including those referred to in paragraph (b) above); and</w:t>
      </w:r>
    </w:p>
    <w:p>
      <w:pPr>
        <w:spacing w:after="0" w:line="170" w:lineRule="exact"/>
        <w:rPr>
          <w:rFonts w:ascii="Arial" w:cs="Arial" w:eastAsia="Arial" w:hAnsi="Arial"/>
          <w:sz w:val="18"/>
          <w:szCs w:val="18"/>
          <w:color w:val="auto"/>
        </w:rPr>
      </w:pPr>
    </w:p>
    <w:p>
      <w:pPr>
        <w:ind w:left="1324" w:hanging="676"/>
        <w:spacing w:after="0"/>
        <w:tabs>
          <w:tab w:leader="none" w:pos="1324" w:val="left"/>
        </w:tabs>
        <w:numPr>
          <w:ilvl w:val="1"/>
          <w:numId w:val="379"/>
        </w:numPr>
        <w:rPr>
          <w:rFonts w:ascii="Arial" w:cs="Arial" w:eastAsia="Arial" w:hAnsi="Arial"/>
          <w:sz w:val="17"/>
          <w:szCs w:val="17"/>
          <w:color w:val="auto"/>
        </w:rPr>
      </w:pPr>
      <w:r>
        <w:rPr>
          <w:rFonts w:ascii="Arial" w:cs="Arial" w:eastAsia="Arial" w:hAnsi="Arial"/>
          <w:sz w:val="17"/>
          <w:szCs w:val="17"/>
          <w:color w:val="auto"/>
        </w:rPr>
        <w:t>maintain effective policies and procedures designed to promote and achieve compliance with such laws and regulations.</w:t>
      </w:r>
    </w:p>
    <w:p>
      <w:pPr>
        <w:spacing w:after="0" w:line="236" w:lineRule="exact"/>
        <w:rPr>
          <w:rFonts w:ascii="Arial" w:cs="Arial" w:eastAsia="Arial" w:hAnsi="Arial"/>
          <w:sz w:val="17"/>
          <w:szCs w:val="17"/>
          <w:color w:val="auto"/>
        </w:rPr>
      </w:pPr>
    </w:p>
    <w:p>
      <w:pPr>
        <w:ind w:left="664" w:hanging="664"/>
        <w:spacing w:after="0"/>
        <w:tabs>
          <w:tab w:leader="none" w:pos="66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221" w:lineRule="exact"/>
        <w:rPr>
          <w:rFonts w:ascii="Arial" w:cs="Arial" w:eastAsia="Arial" w:hAnsi="Arial"/>
          <w:sz w:val="18"/>
          <w:szCs w:val="18"/>
          <w:color w:val="auto"/>
        </w:rPr>
      </w:pPr>
    </w:p>
    <w:p>
      <w:pPr>
        <w:ind w:left="644" w:right="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644" w:right="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644" w:right="3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improperly influence the actions of that party.</w:t>
      </w:r>
    </w:p>
    <w:p>
      <w:pPr>
        <w:spacing w:after="0" w:line="161" w:lineRule="exact"/>
        <w:rPr>
          <w:rFonts w:ascii="Arial" w:cs="Arial" w:eastAsia="Arial" w:hAnsi="Arial"/>
          <w:sz w:val="18"/>
          <w:szCs w:val="18"/>
          <w:color w:val="auto"/>
        </w:rPr>
      </w:pPr>
    </w:p>
    <w:p>
      <w:pPr>
        <w:ind w:left="644"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 that they</w:t>
      </w:r>
      <w:r>
        <w:rPr>
          <w:rFonts w:ascii="Arial" w:cs="Arial" w:eastAsia="Arial" w:hAnsi="Arial"/>
          <w:sz w:val="18"/>
          <w:szCs w:val="18"/>
          <w:b w:val="1"/>
          <w:bCs w:val="1"/>
          <w:color w:val="auto"/>
        </w:rPr>
        <w:t xml:space="preserve"> </w:t>
      </w:r>
      <w:r>
        <w:rPr>
          <w:rFonts w:ascii="Arial" w:cs="Arial" w:eastAsia="Arial" w:hAnsi="Arial"/>
          <w:sz w:val="18"/>
          <w:szCs w:val="18"/>
          <w:color w:val="auto"/>
        </w:rPr>
        <w:t>are to be used, in order to carry out terrorist acts.</w:t>
      </w:r>
    </w:p>
    <w:p>
      <w:pPr>
        <w:spacing w:after="0" w:line="161" w:lineRule="exact"/>
        <w:rPr>
          <w:rFonts w:ascii="Arial" w:cs="Arial" w:eastAsia="Arial" w:hAnsi="Arial"/>
          <w:sz w:val="18"/>
          <w:szCs w:val="18"/>
          <w:color w:val="auto"/>
        </w:rPr>
      </w:pPr>
    </w:p>
    <w:p>
      <w:pPr>
        <w:ind w:left="644" w:right="4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deception.</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9" w:lineRule="exact"/>
        <w:rPr>
          <w:sz w:val="20"/>
          <w:szCs w:val="20"/>
          <w:color w:val="auto"/>
        </w:rPr>
      </w:pPr>
    </w:p>
    <w:p>
      <w:pPr>
        <w:jc w:val="both"/>
        <w:ind w:left="1304" w:right="40" w:hanging="656"/>
        <w:spacing w:after="0" w:line="263" w:lineRule="auto"/>
        <w:tabs>
          <w:tab w:leader="none" w:pos="130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83" w:lineRule="exact"/>
        <w:rPr>
          <w:rFonts w:ascii="Arial" w:cs="Arial" w:eastAsia="Arial" w:hAnsi="Arial"/>
          <w:sz w:val="18"/>
          <w:szCs w:val="18"/>
          <w:color w:val="auto"/>
        </w:rPr>
      </w:pPr>
    </w:p>
    <w:p>
      <w:pPr>
        <w:ind w:left="1304" w:right="160" w:hanging="656"/>
        <w:spacing w:after="0" w:line="277" w:lineRule="auto"/>
        <w:tabs>
          <w:tab w:leader="none" w:pos="131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w:t>
      </w:r>
    </w:p>
    <w:p>
      <w:pPr>
        <w:spacing w:after="0" w:line="170" w:lineRule="exact"/>
        <w:rPr>
          <w:rFonts w:ascii="Arial" w:cs="Arial" w:eastAsia="Arial" w:hAnsi="Arial"/>
          <w:sz w:val="18"/>
          <w:szCs w:val="18"/>
          <w:color w:val="auto"/>
        </w:rPr>
      </w:pPr>
    </w:p>
    <w:p>
      <w:pPr>
        <w:ind w:left="1304" w:hanging="656"/>
        <w:spacing w:after="0"/>
        <w:tabs>
          <w:tab w:leader="none" w:pos="1304"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acquisition, possession or use of property knowing at the time of its receipt that it is derived from a criminal offence; or</w:t>
      </w:r>
    </w:p>
    <w:p>
      <w:pPr>
        <w:spacing w:after="0" w:line="236" w:lineRule="exact"/>
        <w:rPr>
          <w:rFonts w:ascii="Arial" w:cs="Arial" w:eastAsia="Arial" w:hAnsi="Arial"/>
          <w:sz w:val="17"/>
          <w:szCs w:val="17"/>
          <w:color w:val="auto"/>
        </w:rPr>
      </w:pPr>
    </w:p>
    <w:p>
      <w:pPr>
        <w:ind w:left="1304" w:right="260" w:hanging="656"/>
        <w:spacing w:after="0" w:line="263" w:lineRule="auto"/>
        <w:tabs>
          <w:tab w:leader="none" w:pos="1311" w:val="left"/>
        </w:tabs>
        <w:numPr>
          <w:ilvl w:val="0"/>
          <w:numId w:val="380"/>
        </w:numPr>
        <w:rPr>
          <w:rFonts w:ascii="Arial" w:cs="Arial" w:eastAsia="Arial" w:hAnsi="Arial"/>
          <w:sz w:val="18"/>
          <w:szCs w:val="18"/>
          <w:color w:val="auto"/>
        </w:rPr>
      </w:pPr>
      <w:r>
        <w:rPr>
          <w:rFonts w:ascii="Arial" w:cs="Arial" w:eastAsia="Arial" w:hAnsi="Arial"/>
          <w:sz w:val="18"/>
          <w:szCs w:val="18"/>
          <w:color w:val="auto"/>
        </w:rPr>
        <w:t>money laundering (as defined in Article 1 of the Directive ((EU) 2015/849) of the European Parliament and of the Council of the European Communities as amended and in force, or in analogous federal and state legislation of the United States of America).</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324" w:name="page325"/>
    <w:bookmarkEnd w:id="324"/>
    <w:p>
      <w:pPr>
        <w:spacing w:after="0"/>
        <w:tabs>
          <w:tab w:leader="none" w:pos="620" w:val="left"/>
        </w:tabs>
        <w:rPr>
          <w:sz w:val="20"/>
          <w:szCs w:val="20"/>
          <w:color w:val="auto"/>
        </w:rPr>
      </w:pPr>
      <w:r>
        <w:rPr>
          <w:rFonts w:ascii="Arial" w:cs="Arial" w:eastAsia="Arial" w:hAnsi="Arial"/>
          <w:sz w:val="18"/>
          <w:szCs w:val="18"/>
          <w:b w:val="1"/>
          <w:bCs w:val="1"/>
          <w:color w:val="auto"/>
        </w:rPr>
        <w:t>21.15</w:t>
      </w:r>
      <w:r>
        <w:rPr>
          <w:sz w:val="20"/>
          <w:szCs w:val="20"/>
          <w:color w:val="auto"/>
        </w:rPr>
        <w:tab/>
      </w:r>
      <w:r>
        <w:rPr>
          <w:rFonts w:ascii="Arial" w:cs="Arial" w:eastAsia="Arial" w:hAnsi="Arial"/>
          <w:sz w:val="17"/>
          <w:szCs w:val="17"/>
          <w:b w:val="1"/>
          <w:bCs w:val="1"/>
          <w:color w:val="auto"/>
        </w:rPr>
        <w:t>Liquidity</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Obligors shall procure that, from the Utilisation and at all times thereafter throughout the Facility Period, there are maintained in the Earnings Account minimum cash balances of no less than $1,500,000.</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Dealings with 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undertakes that this clause 22 will be complied with in relation to the Ship throughout the Mortgage Period.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Ship’s name and registration</w:t>
      </w:r>
    </w:p>
    <w:p>
      <w:pPr>
        <w:spacing w:after="0" w:line="229" w:lineRule="exact"/>
        <w:rPr>
          <w:sz w:val="20"/>
          <w:szCs w:val="20"/>
          <w:color w:val="auto"/>
        </w:rPr>
      </w:pPr>
    </w:p>
    <w:p>
      <w:pPr>
        <w:ind w:left="1300" w:right="20" w:hanging="644"/>
        <w:spacing w:after="0" w:line="277" w:lineRule="auto"/>
        <w:tabs>
          <w:tab w:leader="none" w:pos="129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Borrower shall promptly take all necessary steps to update all applicable insurance, class and registration documents with such change of name.</w:t>
      </w:r>
    </w:p>
    <w:p>
      <w:pPr>
        <w:spacing w:after="0" w:line="170" w:lineRule="exact"/>
        <w:rPr>
          <w:rFonts w:ascii="Arial" w:cs="Arial" w:eastAsia="Arial" w:hAnsi="Arial"/>
          <w:sz w:val="18"/>
          <w:szCs w:val="18"/>
          <w:color w:val="auto"/>
        </w:rPr>
      </w:pPr>
    </w:p>
    <w:p>
      <w:pPr>
        <w:ind w:left="1300" w:right="20" w:hanging="644"/>
        <w:spacing w:after="0" w:line="291" w:lineRule="auto"/>
        <w:tabs>
          <w:tab w:leader="none" w:pos="130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Ship shall be permanently registered in the name of the Borrower with the relevant Registry under the laws of its Flag State. The Ship shall not be registered under any other flag or at any other port or fly any other flag (other than that of its Flag State) without prior approval from the Agent, provided that such approval shall not be unreasonably withheld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66" w:lineRule="exact"/>
        <w:rPr>
          <w:rFonts w:ascii="Arial" w:cs="Arial" w:eastAsia="Arial" w:hAnsi="Arial"/>
          <w:sz w:val="16"/>
          <w:szCs w:val="16"/>
          <w:color w:val="auto"/>
        </w:rPr>
      </w:pPr>
    </w:p>
    <w:p>
      <w:pPr>
        <w:ind w:left="1300" w:right="40" w:hanging="644"/>
        <w:spacing w:after="0" w:line="277" w:lineRule="auto"/>
        <w:tabs>
          <w:tab w:leader="none" w:pos="131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Sale or other disposal of the Ship</w:t>
      </w:r>
    </w:p>
    <w:p>
      <w:pPr>
        <w:spacing w:after="0" w:line="229"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The Borrower may sell or transfer the Ship, provided that the Borrower is in compliance with this clause 22.2 and clause 7.6 (</w:t>
      </w:r>
      <w:r>
        <w:rPr>
          <w:rFonts w:ascii="Arial" w:cs="Arial" w:eastAsia="Arial" w:hAnsi="Arial"/>
          <w:sz w:val="16"/>
          <w:szCs w:val="16"/>
          <w:i w:val="1"/>
          <w:iCs w:val="1"/>
          <w:color w:val="auto"/>
        </w:rPr>
        <w:t>Sale or Total Loss</w:t>
      </w:r>
      <w:r>
        <w:rPr>
          <w:rFonts w:ascii="Arial" w:cs="Arial" w:eastAsia="Arial" w:hAnsi="Arial"/>
          <w:sz w:val="16"/>
          <w:szCs w:val="16"/>
          <w:color w:val="auto"/>
        </w:rPr>
        <w:t>) in respect of such sale or transfer and no Default has occurred and is continuing at the time of such sale or transfer. Upon such sale or transfer the Lenders will procure that upon the relevant prepayment and the discharge of the other obligations of the Borrower under this clause 22.2 and clause 7.6 (</w:t>
      </w:r>
      <w:r>
        <w:rPr>
          <w:rFonts w:ascii="Arial" w:cs="Arial" w:eastAsia="Arial" w:hAnsi="Arial"/>
          <w:sz w:val="16"/>
          <w:szCs w:val="16"/>
          <w:i w:val="1"/>
          <w:iCs w:val="1"/>
          <w:color w:val="auto"/>
        </w:rPr>
        <w:t>Sale or Total Loss</w:t>
      </w:r>
      <w:r>
        <w:rPr>
          <w:rFonts w:ascii="Arial" w:cs="Arial" w:eastAsia="Arial" w:hAnsi="Arial"/>
          <w:sz w:val="16"/>
          <w:szCs w:val="16"/>
          <w:color w:val="auto"/>
        </w:rPr>
        <w:t>) and payment by the Borrower of all other amounts owing under this Agreement and the other Finance Documents, the Mortgage will be discharged and the Deed of Covenant, the General Assignment, any Charter Assignment, the Account Security, any Hedging Contract Security and the Manager’s Undertaking relating to the Ship will be released, and the Borrower will be released as Borrower under this Agreement, in each case pursuant to deeds of release in agreed form executed at the cost and expense of the Borrower.</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b w:val="1"/>
          <w:bCs w:val="1"/>
          <w:color w:val="auto"/>
        </w:rPr>
        <w:t>Manager</w:t>
      </w:r>
    </w:p>
    <w:p>
      <w:pPr>
        <w:spacing w:after="0" w:line="229" w:lineRule="exact"/>
        <w:rPr>
          <w:sz w:val="20"/>
          <w:szCs w:val="20"/>
          <w:color w:val="auto"/>
        </w:rPr>
      </w:pPr>
    </w:p>
    <w:p>
      <w:pPr>
        <w:ind w:left="1300" w:hanging="644"/>
        <w:spacing w:after="0"/>
        <w:tabs>
          <w:tab w:leader="none" w:pos="13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 manager of the Ship shall not be appointed unless:</w:t>
      </w:r>
    </w:p>
    <w:p>
      <w:pPr>
        <w:spacing w:after="0" w:line="225" w:lineRule="exact"/>
        <w:rPr>
          <w:rFonts w:ascii="Arial" w:cs="Arial" w:eastAsia="Arial" w:hAnsi="Arial"/>
          <w:sz w:val="18"/>
          <w:szCs w:val="18"/>
          <w:color w:val="auto"/>
        </w:rPr>
      </w:pPr>
    </w:p>
    <w:p>
      <w:pPr>
        <w:ind w:left="1960" w:hanging="656"/>
        <w:spacing w:after="0" w:line="286" w:lineRule="auto"/>
        <w:tabs>
          <w:tab w:leader="none" w:pos="1981" w:val="left"/>
        </w:tabs>
        <w:numPr>
          <w:ilvl w:val="1"/>
          <w:numId w:val="382"/>
        </w:numPr>
        <w:rPr>
          <w:rFonts w:ascii="Arial" w:cs="Arial" w:eastAsia="Arial" w:hAnsi="Arial"/>
          <w:sz w:val="17"/>
          <w:szCs w:val="17"/>
          <w:color w:val="auto"/>
        </w:rPr>
      </w:pPr>
      <w:r>
        <w:rPr>
          <w:rFonts w:ascii="Arial" w:cs="Arial" w:eastAsia="Arial" w:hAnsi="Arial"/>
          <w:sz w:val="17"/>
          <w:szCs w:val="17"/>
          <w:color w:val="auto"/>
        </w:rPr>
        <w:t>that manager is approved (and as at the date of this Agreement each of the Parent and GasLog LNG Services Ltd. of Bermuda is approved as Commercial Manager and GasLog LNG Services Ltd. of Bermuda is approved as Technical Manager of the Ship) or is, in the case of the Technical Manager of the Ship, another Approved Technical Manager; and</w:t>
      </w:r>
    </w:p>
    <w:p>
      <w:pPr>
        <w:spacing w:after="0" w:line="165" w:lineRule="exact"/>
        <w:rPr>
          <w:rFonts w:ascii="Arial" w:cs="Arial" w:eastAsia="Arial" w:hAnsi="Arial"/>
          <w:sz w:val="17"/>
          <w:szCs w:val="17"/>
          <w:color w:val="auto"/>
        </w:rPr>
      </w:pPr>
    </w:p>
    <w:p>
      <w:pPr>
        <w:ind w:left="1960" w:right="420" w:hanging="656"/>
        <w:spacing w:after="0" w:line="277" w:lineRule="auto"/>
        <w:tabs>
          <w:tab w:leader="none" w:pos="199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terms of its appointment pursuant to the relevant Management Agreement are approved by the Majority Lenders (such approval not to be unreasonably withheld or delayed);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0" w:hanging="696"/>
        <w:spacing w:after="0"/>
        <w:tabs>
          <w:tab w:leader="none" w:pos="20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it has delivered a duly executed Manager’s Undertaking to the Security Agent.</w:t>
      </w:r>
    </w:p>
    <w:p>
      <w:pPr>
        <w:spacing w:after="0" w:line="225" w:lineRule="exact"/>
        <w:rPr>
          <w:rFonts w:ascii="Arial" w:cs="Arial" w:eastAsia="Arial" w:hAnsi="Arial"/>
          <w:sz w:val="18"/>
          <w:szCs w:val="18"/>
          <w:color w:val="auto"/>
        </w:rPr>
      </w:pPr>
    </w:p>
    <w:p>
      <w:pPr>
        <w:ind w:left="1300" w:right="260" w:hanging="644"/>
        <w:spacing w:after="0" w:line="342" w:lineRule="auto"/>
        <w:tabs>
          <w:tab w:leader="none" w:pos="1307"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Borrower shall not agree to any material change to the terms of appointment of a manager whose appointment has been approved unless such change is also approved by the Majority Lenders (such approval not to be unreasonably withheld or delayed).</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Copy of Mortgage on board</w:t>
      </w:r>
    </w:p>
    <w:p>
      <w:pPr>
        <w:spacing w:after="0" w:line="229"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A properly certified copy of the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Notice of Mortgage</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 Ship. The notice must be in plain type and read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MORTGAGE</w:t>
      </w:r>
    </w:p>
    <w:p>
      <w:pPr>
        <w:spacing w:after="0" w:line="225" w:lineRule="exact"/>
        <w:rPr>
          <w:sz w:val="20"/>
          <w:szCs w:val="20"/>
          <w:color w:val="auto"/>
        </w:rPr>
      </w:pPr>
    </w:p>
    <w:p>
      <w:pPr>
        <w:ind w:left="660" w:right="40"/>
        <w:spacing w:after="0" w:line="314" w:lineRule="auto"/>
        <w:rPr>
          <w:sz w:val="20"/>
          <w:szCs w:val="20"/>
          <w:color w:val="auto"/>
        </w:rPr>
      </w:pPr>
      <w:r>
        <w:rPr>
          <w:rFonts w:ascii="Arial" w:cs="Arial" w:eastAsia="Arial" w:hAnsi="Arial"/>
          <w:sz w:val="16"/>
          <w:szCs w:val="16"/>
          <w:color w:val="auto"/>
        </w:rPr>
        <w:t>This Ship is subject to a first mortgage in favour of [</w:t>
      </w:r>
      <w:r>
        <w:rPr>
          <w:rFonts w:ascii="Arial" w:cs="Arial" w:eastAsia="Arial" w:hAnsi="Arial"/>
          <w:sz w:val="16"/>
          <w:szCs w:val="16"/>
          <w:b w:val="1"/>
          <w:bCs w:val="1"/>
          <w:color w:val="auto"/>
        </w:rPr>
        <w:t>here insert name of mortgagee</w:t>
      </w:r>
      <w:r>
        <w:rPr>
          <w:rFonts w:ascii="Arial" w:cs="Arial" w:eastAsia="Arial" w:hAnsi="Arial"/>
          <w:sz w:val="16"/>
          <w:szCs w:val="16"/>
          <w:color w:val="auto"/>
        </w:rPr>
        <w:t>] of [</w:t>
      </w:r>
      <w:r>
        <w:rPr>
          <w:rFonts w:ascii="Arial" w:cs="Arial" w:eastAsia="Arial" w:hAnsi="Arial"/>
          <w:sz w:val="16"/>
          <w:szCs w:val="16"/>
          <w:b w:val="1"/>
          <w:bCs w:val="1"/>
          <w:color w:val="auto"/>
        </w:rPr>
        <w:t>here insert address of mortgagee</w:t>
      </w:r>
      <w:r>
        <w:rPr>
          <w:rFonts w:ascii="Arial" w:cs="Arial" w:eastAsia="Arial" w:hAnsi="Arial"/>
          <w:sz w:val="16"/>
          <w:szCs w:val="16"/>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46"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ectPr>
          <w:pgSz w:w="11900" w:h="16838" w:orient="portrait"/>
          <w:cols w:equalWidth="0" w:num="1">
            <w:col w:w="11200"/>
          </w:cols>
          <w:pgMar w:left="320" w:top="337" w:right="379" w:bottom="0" w:gutter="0" w:footer="0" w:header="0"/>
        </w:sectPr>
      </w:pPr>
    </w:p>
    <w:bookmarkStart w:id="325" w:name="page326"/>
    <w:bookmarkEnd w:id="325"/>
    <w:p>
      <w:pPr>
        <w:spacing w:after="0"/>
        <w:tabs>
          <w:tab w:leader="none" w:pos="6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Conveyance on default</w:t>
      </w:r>
    </w:p>
    <w:p>
      <w:pPr>
        <w:spacing w:after="0" w:line="229"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Where the Ship is (or is to be) sold in exercise of any power conferred by the Security Documents, the Borrower shall, upon the Agent’s (acting on the instructions of the Majority Lenders) request, immediately execute such form of transfer of title to the Ship as the Agent may require.</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7"/>
          <w:szCs w:val="17"/>
          <w:b w:val="1"/>
          <w:bCs w:val="1"/>
          <w:color w:val="auto"/>
        </w:rPr>
        <w:t>Chartering</w:t>
      </w:r>
    </w:p>
    <w:p>
      <w:pPr>
        <w:spacing w:after="0" w:line="229"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Except with approval of the Majority Lenders, the Borrower shall not enter into any charter commitment for the Ship, which is:</w:t>
      </w:r>
    </w:p>
    <w:p>
      <w:pPr>
        <w:spacing w:after="0" w:line="236" w:lineRule="exact"/>
        <w:rPr>
          <w:rFonts w:ascii="Arial" w:cs="Arial" w:eastAsia="Arial" w:hAnsi="Arial"/>
          <w:sz w:val="17"/>
          <w:szCs w:val="17"/>
          <w:color w:val="auto"/>
        </w:rPr>
      </w:pPr>
    </w:p>
    <w:p>
      <w:pPr>
        <w:ind w:left="1980" w:hanging="676"/>
        <w:spacing w:after="0"/>
        <w:tabs>
          <w:tab w:leader="none" w:pos="19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w:t>
      </w:r>
    </w:p>
    <w:p>
      <w:pPr>
        <w:spacing w:after="0" w:line="225" w:lineRule="exact"/>
        <w:rPr>
          <w:rFonts w:ascii="Arial" w:cs="Arial" w:eastAsia="Arial" w:hAnsi="Arial"/>
          <w:sz w:val="18"/>
          <w:szCs w:val="18"/>
          <w:color w:val="auto"/>
        </w:rPr>
      </w:pPr>
    </w:p>
    <w:p>
      <w:pPr>
        <w:ind w:left="1960" w:right="500" w:hanging="656"/>
        <w:spacing w:after="0" w:line="263" w:lineRule="auto"/>
        <w:tabs>
          <w:tab w:leader="none" w:pos="199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with an Affiliate;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capable of lasting 12 months or longer.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6" w:name="page327"/>
    <w:bookmarkEnd w:id="326"/>
    <w:p>
      <w:pPr>
        <w:ind w:left="1300" w:right="20" w:hanging="644"/>
        <w:spacing w:after="0" w:line="277" w:lineRule="auto"/>
        <w:tabs>
          <w:tab w:leader="none" w:pos="130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Borrower shall:</w:t>
      </w:r>
    </w:p>
    <w:p>
      <w:pPr>
        <w:spacing w:after="0" w:line="170" w:lineRule="exact"/>
        <w:rPr>
          <w:rFonts w:ascii="Arial" w:cs="Arial" w:eastAsia="Arial" w:hAnsi="Arial"/>
          <w:sz w:val="18"/>
          <w:szCs w:val="18"/>
          <w:color w:val="auto"/>
        </w:rPr>
      </w:pPr>
    </w:p>
    <w:p>
      <w:pPr>
        <w:ind w:left="1960" w:right="180" w:hanging="656"/>
        <w:spacing w:after="0" w:line="308" w:lineRule="auto"/>
        <w:tabs>
          <w:tab w:leader="none" w:pos="1981" w:val="left"/>
        </w:tabs>
        <w:numPr>
          <w:ilvl w:val="1"/>
          <w:numId w:val="386"/>
        </w:numPr>
        <w:rPr>
          <w:rFonts w:ascii="Arial" w:cs="Arial" w:eastAsia="Arial" w:hAnsi="Arial"/>
          <w:sz w:val="17"/>
          <w:szCs w:val="17"/>
          <w:color w:val="auto"/>
        </w:rPr>
      </w:pPr>
      <w:r>
        <w:rPr>
          <w:rFonts w:ascii="Arial" w:cs="Arial" w:eastAsia="Arial" w:hAnsi="Arial"/>
          <w:sz w:val="17"/>
          <w:szCs w:val="17"/>
          <w:color w:val="auto"/>
        </w:rPr>
        <w:t>be permitted to pursue and contract for any charter business with any person other than one with a Non-Acceptable Charterer, provided that it advises the Agent promptly of any Charter in respect of its Ship, and the Borrower shall:</w:t>
      </w:r>
    </w:p>
    <w:p>
      <w:pPr>
        <w:spacing w:after="0" w:line="146" w:lineRule="exact"/>
        <w:rPr>
          <w:rFonts w:ascii="Arial" w:cs="Arial" w:eastAsia="Arial" w:hAnsi="Arial"/>
          <w:sz w:val="17"/>
          <w:szCs w:val="17"/>
          <w:color w:val="auto"/>
        </w:rPr>
      </w:pPr>
    </w:p>
    <w:p>
      <w:pPr>
        <w:ind w:left="2620" w:hanging="668"/>
        <w:spacing w:after="0"/>
        <w:tabs>
          <w:tab w:leader="none" w:pos="262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deliver a copy of each such Charter to the Agent forthwith;</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225" w:lineRule="exact"/>
        <w:rPr>
          <w:rFonts w:ascii="Arial" w:cs="Arial" w:eastAsia="Arial" w:hAnsi="Arial"/>
          <w:sz w:val="18"/>
          <w:szCs w:val="18"/>
          <w:color w:val="auto"/>
        </w:rPr>
      </w:pPr>
    </w:p>
    <w:p>
      <w:pPr>
        <w:ind w:left="3240" w:hanging="640"/>
        <w:spacing w:after="0" w:line="277" w:lineRule="auto"/>
        <w:tabs>
          <w:tab w:leader="none" w:pos="3247" w:val="left"/>
        </w:tabs>
        <w:numPr>
          <w:ilvl w:val="3"/>
          <w:numId w:val="386"/>
        </w:numPr>
        <w:rPr>
          <w:rFonts w:ascii="Arial" w:cs="Arial" w:eastAsia="Arial" w:hAnsi="Arial"/>
          <w:sz w:val="18"/>
          <w:szCs w:val="18"/>
          <w:color w:val="auto"/>
        </w:rPr>
      </w:pPr>
      <w:r>
        <w:rPr>
          <w:rFonts w:ascii="Arial" w:cs="Arial" w:eastAsia="Arial" w:hAnsi="Arial"/>
          <w:sz w:val="18"/>
          <w:szCs w:val="18"/>
          <w:color w:val="auto"/>
        </w:rPr>
        <w:t>execute a Charter Assignment in respect of any such Charter in favour of the Security Agent and any notice of assignment required in connection therewith; and</w:t>
      </w:r>
    </w:p>
    <w:p>
      <w:pPr>
        <w:spacing w:after="0" w:line="170" w:lineRule="exact"/>
        <w:rPr>
          <w:rFonts w:ascii="Arial" w:cs="Arial" w:eastAsia="Arial" w:hAnsi="Arial"/>
          <w:sz w:val="18"/>
          <w:szCs w:val="18"/>
          <w:color w:val="auto"/>
        </w:rPr>
      </w:pPr>
    </w:p>
    <w:p>
      <w:pPr>
        <w:ind w:left="3240" w:right="20" w:hanging="640"/>
        <w:spacing w:after="0" w:line="277" w:lineRule="auto"/>
        <w:tabs>
          <w:tab w:leader="none" w:pos="3247" w:val="left"/>
        </w:tabs>
        <w:numPr>
          <w:ilvl w:val="3"/>
          <w:numId w:val="386"/>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Charterer under such Charter, and deliver to the Agent the acknowledgement (if received) of such notice by such Charterer;</w:t>
      </w:r>
    </w:p>
    <w:p>
      <w:pPr>
        <w:spacing w:after="0" w:line="170" w:lineRule="exact"/>
        <w:rPr>
          <w:rFonts w:ascii="Arial" w:cs="Arial" w:eastAsia="Arial" w:hAnsi="Arial"/>
          <w:sz w:val="18"/>
          <w:szCs w:val="18"/>
          <w:color w:val="auto"/>
        </w:rPr>
      </w:pPr>
    </w:p>
    <w:p>
      <w:pPr>
        <w:jc w:val="both"/>
        <w:ind w:left="2600" w:right="400" w:hanging="648"/>
        <w:spacing w:after="0" w:line="311" w:lineRule="auto"/>
        <w:tabs>
          <w:tab w:leader="none" w:pos="2610" w:val="left"/>
        </w:tabs>
        <w:numPr>
          <w:ilvl w:val="2"/>
          <w:numId w:val="386"/>
        </w:numPr>
        <w:rPr>
          <w:rFonts w:ascii="Arial" w:cs="Arial" w:eastAsia="Arial" w:hAnsi="Arial"/>
          <w:sz w:val="16"/>
          <w:szCs w:val="16"/>
          <w:color w:val="auto"/>
        </w:rPr>
      </w:pPr>
      <w:r>
        <w:rPr>
          <w:rFonts w:ascii="Arial" w:cs="Arial" w:eastAsia="Arial" w:hAnsi="Arial"/>
          <w:sz w:val="16"/>
          <w:szCs w:val="16"/>
          <w:color w:val="auto"/>
        </w:rPr>
        <w:t xml:space="preserve">deliver to the Agent such documents and evidence of the type referred to in Schedule 3 (Conditions </w:t>
      </w:r>
      <w:r>
        <w:rPr>
          <w:rFonts w:ascii="Arial" w:cs="Arial" w:eastAsia="Arial" w:hAnsi="Arial"/>
          <w:sz w:val="16"/>
          <w:szCs w:val="16"/>
          <w:i w:val="1"/>
          <w:iCs w:val="1"/>
          <w:color w:val="auto"/>
        </w:rPr>
        <w:t>precedent</w:t>
      </w:r>
      <w:r>
        <w:rPr>
          <w:rFonts w:ascii="Arial" w:cs="Arial" w:eastAsia="Arial" w:hAnsi="Arial"/>
          <w:sz w:val="16"/>
          <w:szCs w:val="16"/>
          <w:color w:val="auto"/>
        </w:rPr>
        <w:t>), in relation to any such Charter Assignment or any other related matter referred to in this clause 22.7(b), as the Agent (acting on the instructions of the Majority Lenders in their sole discretion) shall require; and</w:t>
      </w:r>
    </w:p>
    <w:p>
      <w:pPr>
        <w:spacing w:after="0" w:line="148" w:lineRule="exact"/>
        <w:rPr>
          <w:rFonts w:ascii="Arial" w:cs="Arial" w:eastAsia="Arial" w:hAnsi="Arial"/>
          <w:sz w:val="16"/>
          <w:szCs w:val="16"/>
          <w:color w:val="auto"/>
        </w:rPr>
      </w:pPr>
    </w:p>
    <w:p>
      <w:pPr>
        <w:ind w:left="2600" w:right="40" w:hanging="648"/>
        <w:spacing w:after="0" w:line="263" w:lineRule="auto"/>
        <w:tabs>
          <w:tab w:leader="none" w:pos="2620" w:val="left"/>
        </w:tabs>
        <w:numPr>
          <w:ilvl w:val="2"/>
          <w:numId w:val="386"/>
        </w:numPr>
        <w:rPr>
          <w:rFonts w:ascii="Arial" w:cs="Arial" w:eastAsia="Arial" w:hAnsi="Arial"/>
          <w:sz w:val="18"/>
          <w:szCs w:val="18"/>
          <w:color w:val="auto"/>
        </w:rPr>
      </w:pPr>
      <w:r>
        <w:rPr>
          <w:rFonts w:ascii="Arial" w:cs="Arial" w:eastAsia="Arial" w:hAnsi="Arial"/>
          <w:sz w:val="18"/>
          <w:szCs w:val="18"/>
          <w:color w:val="auto"/>
        </w:rPr>
        <w:t>pay on the Agent’s demand all legal costs and other costs incurred by the Agent and/or the Lenders and/or the Security Agent in connection with or in relation to any such Charter Assignment or any other related matter referred to in this clause 22.7(b).</w:t>
      </w:r>
    </w:p>
    <w:p>
      <w:pPr>
        <w:spacing w:after="0" w:line="183" w:lineRule="exact"/>
        <w:rPr>
          <w:rFonts w:ascii="Arial" w:cs="Arial" w:eastAsia="Arial" w:hAnsi="Arial"/>
          <w:sz w:val="18"/>
          <w:szCs w:val="18"/>
          <w:color w:val="auto"/>
        </w:rPr>
      </w:pPr>
    </w:p>
    <w:p>
      <w:pPr>
        <w:ind w:left="1300" w:right="160" w:hanging="644"/>
        <w:spacing w:after="0" w:line="342" w:lineRule="auto"/>
        <w:tabs>
          <w:tab w:leader="none" w:pos="131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Obligors undertake to use their reasonable endeavours to procure that the Ship has been fixed for charter under an Eligible Charter Agreement, and has been delivered to, and accepted by, the relevant Charterer thereunder, by not later than 30 September 2021.</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b w:val="1"/>
          <w:bCs w:val="1"/>
          <w:color w:val="auto"/>
        </w:rPr>
        <w:t>Merchant use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use the Ship only as a civil merchant trading ship.</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b w:val="1"/>
          <w:bCs w:val="1"/>
          <w:color w:val="auto"/>
        </w:rPr>
        <w:t>Sharing of Earnings</w:t>
      </w:r>
    </w:p>
    <w:p>
      <w:pPr>
        <w:spacing w:after="0" w:line="229"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The Borrower shall not enter into any arrangement under which its Earnings from the Ship may be shared with anyone else except with the approval of the Majority Lenders.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6"/>
          <w:szCs w:val="16"/>
          <w:b w:val="1"/>
          <w:bCs w:val="1"/>
          <w:color w:val="auto"/>
        </w:rPr>
        <w:t>Payment of Earnings</w:t>
      </w:r>
    </w:p>
    <w:p>
      <w:pPr>
        <w:spacing w:after="0" w:line="229"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The Borrower’s Earnings from the Ship shall be paid in the way required by the Ship’s General Assignment, Deed of Covenant or any Charter Assignment. If (with the prior written approval of the Security Agent or the Agent, or as otherwise permitted or required by the provisions of any such Security Document) any Earnings are held by brokers or other agents, they shall be paid to the Security Agent or the Agent (as the case may be), if it requires this after the Earnings have become payable to it under the Ship’s General Assignment, Deed of Covenant or any Charter Assignment.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22.11</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Lay up</w:t>
            </w:r>
          </w:p>
        </w:tc>
      </w:tr>
      <w:tr>
        <w:trPr>
          <w:trHeight w:val="432"/>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8"/>
              </w:rPr>
              <w:t>Except with approval by the Majority Lenders (such approval not to be unreasonably withheld), no Ship shall be laid up or deactivated.</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Condition and operation of Ship</w:t>
            </w:r>
          </w:p>
        </w:tc>
      </w:tr>
      <w:tr>
        <w:trPr>
          <w:trHeight w:val="432"/>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The Borrower undertakes that this clause 23 will be complied with in relation to the Ship throughout the Ship’s Mortgage Period.</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23.1</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Defined terms</w:t>
            </w:r>
          </w:p>
        </w:tc>
      </w:tr>
      <w:tr>
        <w:trPr>
          <w:trHeight w:val="432"/>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In this clause 23.1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b w:val="1"/>
                <w:bCs w:val="1"/>
                <w:color w:val="auto"/>
                <w:w w:val="90"/>
              </w:rPr>
              <w:t xml:space="preserve">applicable code </w:t>
            </w:r>
            <w:r>
              <w:rPr>
                <w:rFonts w:ascii="Arial" w:cs="Arial" w:eastAsia="Arial" w:hAnsi="Arial"/>
                <w:sz w:val="18"/>
                <w:szCs w:val="18"/>
                <w:color w:val="auto"/>
                <w:w w:val="90"/>
              </w:rPr>
              <w:t>means any code or prescribed procedures required to be observed by the Ship or the persons responsible for its operation under</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any applicable law (including but not limited to those currently known as the ISM Code and the ISPS Code).</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b w:val="1"/>
                <w:bCs w:val="1"/>
                <w:color w:val="auto"/>
                <w:w w:val="91"/>
              </w:rPr>
              <w:t xml:space="preserve">applicable law </w:t>
            </w:r>
            <w:r>
              <w:rPr>
                <w:rFonts w:ascii="Arial" w:cs="Arial" w:eastAsia="Arial" w:hAnsi="Arial"/>
                <w:sz w:val="18"/>
                <w:szCs w:val="18"/>
                <w:color w:val="auto"/>
                <w:w w:val="91"/>
              </w:rPr>
              <w:t>means all laws and regulations applicable to vessels registered in the Ship’s Flag State or which for any other reason apply to the</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Ship or to its condition or operation at any relevant time.</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b w:val="1"/>
                <w:bCs w:val="1"/>
                <w:color w:val="auto"/>
                <w:w w:val="91"/>
              </w:rPr>
              <w:t xml:space="preserve">applicable operating certificate </w:t>
            </w:r>
            <w:r>
              <w:rPr>
                <w:rFonts w:ascii="Arial" w:cs="Arial" w:eastAsia="Arial" w:hAnsi="Arial"/>
                <w:sz w:val="18"/>
                <w:szCs w:val="18"/>
                <w:color w:val="auto"/>
                <w:w w:val="91"/>
              </w:rPr>
              <w:t>means any certificates or other document relating to the Ship or its condition or operation required to be in force</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under any applicable law or any applicable code.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23.2</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Repair</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0"/>
              </w:rPr>
              <w:t>The Ship shall be kept in a good, safe and efficient state of repair. The quality of workmanship and materials used to repair the Ship or replace any</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damaged, worn or lost parts or equipment shall be sufficient to ensure that the Ship’s value is not reduced.</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23.3</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Modification</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1"/>
              </w:rPr>
              <w:t>Except with approval, the structure, type or performance characteristics of the Ship shall not be modified in a way which could or might materially</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alter the Ship or reduce its value.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23.4</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Removal of parts</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Except with approval, no material part of the Ship or any equipment shall be removed from the Ship if to do so would reduce its value (unless at</w:t>
            </w:r>
          </w:p>
        </w:tc>
      </w:tr>
      <w:tr>
        <w:trPr>
          <w:trHeight w:val="216"/>
        </w:trPr>
        <w:tc>
          <w:tcPr>
            <w:tcW w:w="520" w:type="dxa"/>
            <w:vAlign w:val="bottom"/>
          </w:tcPr>
          <w:p>
            <w:pPr>
              <w:spacing w:after="0"/>
              <w:rPr>
                <w:sz w:val="18"/>
                <w:szCs w:val="18"/>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3"/>
              </w:rPr>
              <w:t>the same time it is replaced with equivalent parts or equipment owned by the Borrower free of any Security Interest except under the Security</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Documents).</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23.5</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Third party owned equipment</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Except with approval, equipment owned by a third party shall not be installed on the Ship if it cannot be removed without risk of causing damage</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rPr>
              <w:t>to the structure or fabric of the Ship or incurring significant expense.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23.6</w:t>
            </w:r>
          </w:p>
        </w:tc>
        <w:tc>
          <w:tcPr>
            <w:tcW w:w="10700" w:type="dxa"/>
            <w:vAlign w:val="bottom"/>
          </w:tcPr>
          <w:p>
            <w:pPr>
              <w:ind w:left="120"/>
              <w:spacing w:after="0"/>
              <w:rPr>
                <w:sz w:val="20"/>
                <w:szCs w:val="20"/>
                <w:color w:val="auto"/>
              </w:rPr>
            </w:pPr>
            <w:r>
              <w:rPr>
                <w:rFonts w:ascii="Arial" w:cs="Arial" w:eastAsia="Arial" w:hAnsi="Arial"/>
                <w:sz w:val="18"/>
                <w:szCs w:val="18"/>
                <w:b w:val="1"/>
                <w:bCs w:val="1"/>
                <w:color w:val="auto"/>
              </w:rPr>
              <w:t>Maintenance of class; compliance with laws and codes</w:t>
            </w:r>
          </w:p>
        </w:tc>
      </w:tr>
      <w:tr>
        <w:trPr>
          <w:trHeight w:val="418"/>
        </w:trPr>
        <w:tc>
          <w:tcPr>
            <w:tcW w:w="520" w:type="dxa"/>
            <w:vAlign w:val="bottom"/>
          </w:tcPr>
          <w:p>
            <w:pPr>
              <w:spacing w:after="0"/>
              <w:rPr>
                <w:sz w:val="24"/>
                <w:szCs w:val="24"/>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4"/>
              </w:rPr>
              <w:t>The Ship’s class shall be the relevant Classification free of any overdue qualifications with the relevant Classification Society and neither the</w:t>
            </w:r>
          </w:p>
        </w:tc>
      </w:tr>
      <w:tr>
        <w:trPr>
          <w:trHeight w:val="230"/>
        </w:trPr>
        <w:tc>
          <w:tcPr>
            <w:tcW w:w="520" w:type="dxa"/>
            <w:vAlign w:val="bottom"/>
          </w:tcPr>
          <w:p>
            <w:pPr>
              <w:spacing w:after="0"/>
              <w:rPr>
                <w:sz w:val="20"/>
                <w:szCs w:val="20"/>
                <w:color w:val="auto"/>
              </w:rPr>
            </w:pPr>
          </w:p>
        </w:tc>
        <w:tc>
          <w:tcPr>
            <w:tcW w:w="10700" w:type="dxa"/>
            <w:vAlign w:val="bottom"/>
          </w:tcPr>
          <w:p>
            <w:pPr>
              <w:ind w:left="140"/>
              <w:spacing w:after="0"/>
              <w:rPr>
                <w:sz w:val="20"/>
                <w:szCs w:val="20"/>
                <w:color w:val="auto"/>
              </w:rPr>
            </w:pPr>
            <w:r>
              <w:rPr>
                <w:rFonts w:ascii="Arial" w:cs="Arial" w:eastAsia="Arial" w:hAnsi="Arial"/>
                <w:sz w:val="18"/>
                <w:szCs w:val="18"/>
                <w:color w:val="auto"/>
                <w:w w:val="92"/>
              </w:rPr>
              <w:t>Classification nor the Classification Society of the Ship shall be changed without approval of the Agent (acting on the instructions of the Majority</w:t>
            </w:r>
          </w:p>
        </w:tc>
      </w:tr>
    </w:tbl>
    <w:p>
      <w:pPr>
        <w:ind w:left="660" w:right="420"/>
        <w:spacing w:after="0" w:line="255" w:lineRule="auto"/>
        <w:rPr>
          <w:sz w:val="20"/>
          <w:szCs w:val="20"/>
          <w:color w:val="auto"/>
        </w:rPr>
      </w:pPr>
      <w:r>
        <w:rPr>
          <w:rFonts w:ascii="Arial" w:cs="Arial" w:eastAsia="Arial" w:hAnsi="Arial"/>
          <w:sz w:val="18"/>
          <w:szCs w:val="18"/>
          <w:color w:val="auto"/>
        </w:rPr>
        <w:t>Lenders) (such approval not to be unreasonably withheld and which approval shall not be required in respect of a change to one of DNV GL, American Bureau of Shipping, Lloyd’s Register of Shipping and Korean Register for as long as it remains a member of the International Association of Classification Societies). Immediately after any such approved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8" w:name="page329"/>
    <w:bookmarkEnd w:id="328"/>
    <w:p>
      <w:pPr>
        <w:ind w:left="660"/>
        <w:spacing w:after="0" w:line="255" w:lineRule="auto"/>
        <w:rPr>
          <w:sz w:val="20"/>
          <w:szCs w:val="20"/>
          <w:color w:val="auto"/>
        </w:rPr>
      </w:pPr>
      <w:r>
        <w:rPr>
          <w:rFonts w:ascii="Arial" w:cs="Arial" w:eastAsia="Arial" w:hAnsi="Arial"/>
          <w:sz w:val="18"/>
          <w:szCs w:val="18"/>
          <w:color w:val="auto"/>
        </w:rPr>
        <w:t>change the Borrower shall notify the Lenders (through the Agent) of such change.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Promptly upon the Agent’s request, the Borrower shall provide to the Agent a copy of the Inventory of Hazardous Materials in respect of the Ship.</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Surveys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Ship shall be submitted to continuous surveys and any other surveys which are required for it to maintain the Classification as its class.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reports of those surveys shall be provided promptly to the Agent if it so requests.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Inspection and notice of drydockings</w:t>
      </w:r>
    </w:p>
    <w:p>
      <w:pPr>
        <w:spacing w:after="0" w:line="229"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Agent (acting on the instructions of the Majority Lenders) and/or surveyors appointed by it for such purpose (in consultation with the Borrower) shall be allowed to board the Ship at all times, subject to reasonable prior notice to the Borrower and without hindering the Ship’s continuous, safe and efficient operations, to inspect it and given all proper facilities needed for that purpose. The Agent shall be given reasonable advance notice of any intended drydocking of the Ship (whatever the purpose of that drydocking). The Borrower shall bear the cost of only one such inspection of the Ship per calendar year unless there is an Event of Default which is continuing or the inspection of the relevant Ship reveals issues in respect of the condition of the Ship that indicate a breach of clause 23.2 (</w:t>
      </w:r>
      <w:r>
        <w:rPr>
          <w:rFonts w:ascii="Arial" w:cs="Arial" w:eastAsia="Arial" w:hAnsi="Arial"/>
          <w:sz w:val="18"/>
          <w:szCs w:val="18"/>
          <w:i w:val="1"/>
          <w:iCs w:val="1"/>
          <w:color w:val="auto"/>
        </w:rPr>
        <w:t>Repair</w:t>
      </w:r>
      <w:r>
        <w:rPr>
          <w:rFonts w:ascii="Arial" w:cs="Arial" w:eastAsia="Arial" w:hAnsi="Arial"/>
          <w:sz w:val="18"/>
          <w:szCs w:val="18"/>
          <w:color w:val="auto"/>
        </w:rPr>
        <w:t>) or 23.6 (</w:t>
      </w:r>
      <w:r>
        <w:rPr>
          <w:rFonts w:ascii="Arial" w:cs="Arial" w:eastAsia="Arial" w:hAnsi="Arial"/>
          <w:sz w:val="18"/>
          <w:szCs w:val="18"/>
          <w:i w:val="1"/>
          <w:iCs w:val="1"/>
          <w:color w:val="auto"/>
        </w:rPr>
        <w:t>Maintenance of class; compliance with laws</w:t>
      </w:r>
      <w:r>
        <w:rPr>
          <w:rFonts w:ascii="Arial" w:cs="Arial" w:eastAsia="Arial" w:hAnsi="Arial"/>
          <w:sz w:val="18"/>
          <w:szCs w:val="18"/>
          <w:color w:val="auto"/>
        </w:rPr>
        <w:t xml:space="preserve"> </w:t>
      </w:r>
      <w:r>
        <w:rPr>
          <w:rFonts w:ascii="Arial" w:cs="Arial" w:eastAsia="Arial" w:hAnsi="Arial"/>
          <w:sz w:val="18"/>
          <w:szCs w:val="18"/>
          <w:i w:val="1"/>
          <w:iCs w:val="1"/>
          <w:color w:val="auto"/>
        </w:rPr>
        <w:t>and codes</w:t>
      </w:r>
      <w:r>
        <w:rPr>
          <w:rFonts w:ascii="Arial" w:cs="Arial" w:eastAsia="Arial" w:hAnsi="Arial"/>
          <w:sz w:val="18"/>
          <w:szCs w:val="18"/>
          <w:color w:val="auto"/>
        </w:rPr>
        <w: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Prevention of arrest</w:t>
      </w:r>
    </w:p>
    <w:p>
      <w:pPr>
        <w:spacing w:after="0" w:line="229" w:lineRule="exact"/>
        <w:rPr>
          <w:sz w:val="20"/>
          <w:szCs w:val="20"/>
          <w:color w:val="auto"/>
        </w:rPr>
      </w:pPr>
    </w:p>
    <w:p>
      <w:pPr>
        <w:ind w:left="660" w:right="340"/>
        <w:spacing w:after="0" w:line="263" w:lineRule="auto"/>
        <w:rPr>
          <w:sz w:val="20"/>
          <w:szCs w:val="20"/>
          <w:color w:val="auto"/>
        </w:rPr>
      </w:pPr>
      <w:r>
        <w:rPr>
          <w:rFonts w:ascii="Arial" w:cs="Arial" w:eastAsia="Arial" w:hAnsi="Arial"/>
          <w:sz w:val="18"/>
          <w:szCs w:val="18"/>
          <w:color w:val="auto"/>
        </w:rPr>
        <w:t>All debts, damages, liabilities and outgoings (due and payable and not contested by the Borrower in good faith) which have given, or may reasonably give, rise to maritime, statutory or possessory liens on, or claims enforceable against, the Ship, its Earnings or Insurances shall be promptly paid and discharged.</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6"/>
          <w:szCs w:val="16"/>
          <w:b w:val="1"/>
          <w:bCs w:val="1"/>
          <w:color w:val="auto"/>
        </w:rPr>
        <w:t>Release from arrest</w:t>
      </w:r>
    </w:p>
    <w:p>
      <w:pPr>
        <w:spacing w:after="0" w:line="229" w:lineRule="exact"/>
        <w:rPr>
          <w:sz w:val="20"/>
          <w:szCs w:val="20"/>
          <w:color w:val="auto"/>
        </w:rPr>
      </w:pPr>
    </w:p>
    <w:p>
      <w:pPr>
        <w:jc w:val="both"/>
        <w:ind w:left="660" w:right="300"/>
        <w:spacing w:after="0" w:line="263" w:lineRule="auto"/>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Information about the Ship</w:t>
      </w:r>
    </w:p>
    <w:p>
      <w:pPr>
        <w:spacing w:after="0" w:line="22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The Agent shall promptly be given any information which it may reasonably require about the Ship or its employment, position, use or operation, including details of towages and salvages, and copies of all its charter commitments entered into by or on behalf of any Obligor or any Manager and copies of any applicable operating certificates.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6"/>
          <w:szCs w:val="16"/>
          <w:b w:val="1"/>
          <w:bCs w:val="1"/>
          <w:color w:val="auto"/>
        </w:rPr>
        <w:t>Notification of certain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Agent shall promptly be notified of:</w:t>
      </w:r>
    </w:p>
    <w:p>
      <w:pPr>
        <w:spacing w:after="0" w:line="225" w:lineRule="exact"/>
        <w:rPr>
          <w:sz w:val="20"/>
          <w:szCs w:val="20"/>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29" w:name="page330"/>
    <w:bookmarkEnd w:id="329"/>
    <w:p>
      <w:pPr>
        <w:ind w:left="1320" w:hanging="664"/>
        <w:spacing w:after="0"/>
        <w:tabs>
          <w:tab w:leader="none" w:pos="13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21"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5"/>
          <w:szCs w:val="15"/>
          <w:b w:val="1"/>
          <w:bCs w:val="1"/>
          <w:color w:val="auto"/>
        </w:rPr>
        <w:t>Payment of outgoings</w:t>
      </w:r>
    </w:p>
    <w:p>
      <w:pPr>
        <w:spacing w:after="0" w:line="22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All tolls, dues and other outgoings whatsoever in respect of the Ship and its Earnings and Insurances shall be paid promptly to the extent any such payment is not being contested in good faith and with adequate reserves. Proper accounting records shall be kept of the Ship and its Earnings.</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5"/>
          <w:szCs w:val="15"/>
          <w:b w:val="1"/>
          <w:bCs w:val="1"/>
          <w:color w:val="auto"/>
        </w:rPr>
        <w:t>Evidence of payments</w:t>
      </w:r>
    </w:p>
    <w:p>
      <w:pPr>
        <w:spacing w:after="0" w:line="22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Borrower is not in any way hindered, to those accounting records when it reasonably requests it and, when it reasonably requires it, shall be given satisfactory evidence that:</w:t>
      </w:r>
    </w:p>
    <w:p>
      <w:pPr>
        <w:spacing w:after="0" w:line="184" w:lineRule="exact"/>
        <w:rPr>
          <w:sz w:val="20"/>
          <w:szCs w:val="20"/>
          <w:color w:val="auto"/>
        </w:rPr>
      </w:pPr>
    </w:p>
    <w:p>
      <w:pPr>
        <w:ind w:left="1300" w:hanging="644"/>
        <w:spacing w:after="0"/>
        <w:tabs>
          <w:tab w:leader="none" w:pos="13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the wages and allotments and the insurance and pension contributions of the Ship’s crew are being promptly and regularly paid;</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11"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6"/>
          <w:szCs w:val="16"/>
          <w:b w:val="1"/>
          <w:bCs w:val="1"/>
          <w:color w:val="auto"/>
        </w:rPr>
        <w:t>Repairers’ liens</w:t>
      </w:r>
    </w:p>
    <w:p>
      <w:pPr>
        <w:spacing w:after="0" w:line="229"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Except with approval by the Majority Lenders, the Ship shall not be put into any other person’s possession for work to be done on the Ship if the cost of that work will exceed or is likely to exceed the Major Casualty Amount unless the Borrower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6"/>
          <w:szCs w:val="16"/>
          <w:b w:val="1"/>
          <w:bCs w:val="1"/>
          <w:color w:val="auto"/>
        </w:rPr>
        <w:t>Survey report</w:t>
      </w:r>
    </w:p>
    <w:p>
      <w:pPr>
        <w:spacing w:after="0" w:line="229" w:lineRule="exact"/>
        <w:rPr>
          <w:sz w:val="20"/>
          <w:szCs w:val="20"/>
          <w:color w:val="auto"/>
        </w:rPr>
      </w:pPr>
    </w:p>
    <w:p>
      <w:pPr>
        <w:jc w:val="both"/>
        <w:ind w:left="660" w:right="340"/>
        <w:spacing w:after="0" w:line="259"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23.8 (</w:t>
      </w:r>
      <w:r>
        <w:rPr>
          <w:rFonts w:ascii="Arial" w:cs="Arial" w:eastAsia="Arial" w:hAnsi="Arial"/>
          <w:sz w:val="18"/>
          <w:szCs w:val="18"/>
          <w:i w:val="1"/>
          <w:iCs w:val="1"/>
          <w:color w:val="auto"/>
        </w:rPr>
        <w:t>Inspection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notice of drydockings</w:t>
      </w:r>
      <w:r>
        <w:rPr>
          <w:rFonts w:ascii="Arial" w:cs="Arial" w:eastAsia="Arial" w:hAnsi="Arial"/>
          <w:sz w:val="18"/>
          <w:szCs w:val="18"/>
          <w:color w:val="auto"/>
        </w:rPr>
        <w:t>), the Agent shall be given a report on the seaworthiness and/or safe operation of the Ship, from surveyors or inspectors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the Majority Lenders. If any recommendations are made in such a report they shall be complied with in the way and by the time recommended in the report.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23.17</w:t>
      </w:r>
      <w:r>
        <w:rPr>
          <w:sz w:val="20"/>
          <w:szCs w:val="20"/>
          <w:color w:val="auto"/>
        </w:rPr>
        <w:tab/>
      </w:r>
      <w:r>
        <w:rPr>
          <w:rFonts w:ascii="Arial" w:cs="Arial" w:eastAsia="Arial" w:hAnsi="Arial"/>
          <w:sz w:val="16"/>
          <w:szCs w:val="16"/>
          <w:b w:val="1"/>
          <w:bCs w:val="1"/>
          <w:color w:val="auto"/>
        </w:rPr>
        <w:t>Lawful use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Ship shall not be employed:</w:t>
      </w:r>
    </w:p>
    <w:p>
      <w:pPr>
        <w:spacing w:after="0" w:line="225" w:lineRule="exact"/>
        <w:rPr>
          <w:sz w:val="20"/>
          <w:szCs w:val="20"/>
          <w:color w:val="auto"/>
        </w:rPr>
      </w:pPr>
    </w:p>
    <w:p>
      <w:pPr>
        <w:jc w:val="center"/>
        <w:ind w:left="5540" w:right="1480" w:hanging="4884"/>
        <w:spacing w:after="0" w:line="527" w:lineRule="auto"/>
        <w:tabs>
          <w:tab w:leader="none" w:pos="130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0" w:name="page331"/>
    <w:bookmarkEnd w:id="330"/>
    <w:p>
      <w:pPr>
        <w:ind w:left="1320" w:hanging="664"/>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25" w:lineRule="exact"/>
        <w:rPr>
          <w:sz w:val="20"/>
          <w:szCs w:val="20"/>
          <w:color w:val="auto"/>
        </w:rPr>
      </w:pPr>
    </w:p>
    <w:p>
      <w:pPr>
        <w:ind w:left="660" w:right="280"/>
        <w:spacing w:after="0" w:line="263" w:lineRule="auto"/>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23.18</w:t>
      </w:r>
      <w:r>
        <w:rPr>
          <w:sz w:val="20"/>
          <w:szCs w:val="20"/>
          <w:color w:val="auto"/>
        </w:rPr>
        <w:tab/>
      </w:r>
      <w:r>
        <w:rPr>
          <w:rFonts w:ascii="Arial" w:cs="Arial" w:eastAsia="Arial" w:hAnsi="Arial"/>
          <w:sz w:val="15"/>
          <w:szCs w:val="15"/>
          <w:b w:val="1"/>
          <w:bCs w:val="1"/>
          <w:color w:val="auto"/>
        </w:rPr>
        <w:t>War zones</w:t>
      </w:r>
    </w:p>
    <w:p>
      <w:pPr>
        <w:spacing w:after="0" w:line="229"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Ship shall not enter or remain in any zone which has been declared a war zone by any government entity or the Ship’s war risk insurers except with prior written notification to the Agent and provided that the Borrower has delivered to the Agent written evidence satisfactory to it that any requirements of the Ship’s insurers necessary to ensure that the Ship remains properly insured in accordance with the Finance Documents (including any requirement for the payment of extra insurance premiums) are complied with.</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23.19</w:t>
      </w:r>
      <w:r>
        <w:rPr>
          <w:sz w:val="20"/>
          <w:szCs w:val="20"/>
          <w:color w:val="auto"/>
        </w:rPr>
        <w:tab/>
      </w:r>
      <w:r>
        <w:rPr>
          <w:rFonts w:ascii="Arial" w:cs="Arial" w:eastAsia="Arial" w:hAnsi="Arial"/>
          <w:sz w:val="16"/>
          <w:szCs w:val="16"/>
          <w:b w:val="1"/>
          <w:bCs w:val="1"/>
          <w:color w:val="auto"/>
        </w:rPr>
        <w:t>Scrapping</w:t>
      </w:r>
    </w:p>
    <w:p>
      <w:pPr>
        <w:spacing w:after="0" w:line="229"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Subject to the other provisions of this Agreement, if the Ship, or any other vessel owned or controlled by the Obligors, is sold to any person (including an intermediary) with the intention of being scrapped, then the Ship or other vessel shall be recycled at a recycling yard which conducts its recycling business in a socially and environmentally responsible manner in accordance with the Hong Kong International Convention for the Safe and Environmentally Sound Recycling of Ships, 2009 and EU Ship Recycling Regulation, 2013.</w:t>
      </w:r>
    </w:p>
    <w:p>
      <w:pPr>
        <w:spacing w:after="0" w:line="167" w:lineRule="exact"/>
        <w:rPr>
          <w:sz w:val="20"/>
          <w:szCs w:val="20"/>
          <w:color w:val="auto"/>
        </w:rPr>
      </w:pPr>
    </w:p>
    <w:p>
      <w:pPr>
        <w:ind w:left="640" w:hanging="632"/>
        <w:spacing w:after="0"/>
        <w:tabs>
          <w:tab w:leader="none" w:pos="64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ind w:left="6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undertakes that this clause 24 shall be complied with in relation to the Ship and its Insurances throughout the relevant Ship’s Mortgage Period.</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Insurance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24:</w:t>
      </w:r>
    </w:p>
    <w:p>
      <w:pPr>
        <w:spacing w:after="0" w:line="221" w:lineRule="exact"/>
        <w:rPr>
          <w:sz w:val="20"/>
          <w:szCs w:val="20"/>
          <w:color w:val="auto"/>
        </w:rPr>
      </w:pPr>
    </w:p>
    <w:p>
      <w:pPr>
        <w:jc w:val="both"/>
        <w:ind w:left="660" w:right="80"/>
        <w:spacing w:after="0" w:line="266"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 recoverable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hull and machinery insurances of a vessel in consequence of the value at which the vessel is assessed for the purpose of such claims exceeding its insured value.</w:t>
      </w:r>
    </w:p>
    <w:p>
      <w:pPr>
        <w:spacing w:after="0" w:line="176" w:lineRule="exact"/>
        <w:rPr>
          <w:sz w:val="20"/>
          <w:szCs w:val="20"/>
          <w:color w:val="auto"/>
        </w:rPr>
      </w:pPr>
    </w:p>
    <w:p>
      <w:pPr>
        <w:ind w:left="660" w:right="500"/>
        <w:spacing w:after="0" w:line="282"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only in excess of amounts recoverable under the usual war risk cover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hull and machinery, crew and protection and indemnity risks.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24.2(a) (</w:t>
      </w:r>
      <w:r>
        <w:rPr>
          <w:rFonts w:ascii="Arial" w:cs="Arial" w:eastAsia="Arial" w:hAnsi="Arial"/>
          <w:sz w:val="18"/>
          <w:szCs w:val="18"/>
          <w:i w:val="1"/>
          <w:iCs w:val="1"/>
          <w:color w:val="auto"/>
        </w:rPr>
        <w:t>Coverage required</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an amount equal at the relevant time to 120% of the aggregate of (a) the Loan and (b) the Hedging Exposure under</w:t>
      </w:r>
      <w:r>
        <w:rPr>
          <w:rFonts w:ascii="Arial" w:cs="Arial" w:eastAsia="Arial" w:hAnsi="Arial"/>
          <w:sz w:val="18"/>
          <w:szCs w:val="18"/>
          <w:b w:val="1"/>
          <w:bCs w:val="1"/>
          <w:color w:val="auto"/>
        </w:rPr>
        <w:t xml:space="preserve"> </w:t>
      </w:r>
      <w:r>
        <w:rPr>
          <w:rFonts w:ascii="Arial" w:cs="Arial" w:eastAsia="Arial" w:hAnsi="Arial"/>
          <w:sz w:val="18"/>
          <w:szCs w:val="18"/>
          <w:color w:val="auto"/>
        </w:rPr>
        <w:t>all Hedging Contracts of all Hedging Providers at the time.</w:t>
      </w:r>
    </w:p>
    <w:p>
      <w:pPr>
        <w:spacing w:after="0" w:line="162" w:lineRule="exact"/>
        <w:rPr>
          <w:sz w:val="20"/>
          <w:szCs w:val="20"/>
          <w:color w:val="auto"/>
        </w:rPr>
      </w:pPr>
    </w:p>
    <w:p>
      <w:pPr>
        <w:ind w:left="660" w:right="160"/>
        <w:spacing w:after="0" w:line="266"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which is a member of the International Group of protection and indemnity associations (or, if the International Group ceases to exist, any other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1" w:name="page332"/>
    <w:bookmarkEnd w:id="331"/>
    <w:p>
      <w:pPr>
        <w:ind w:left="660" w:right="180"/>
        <w:spacing w:after="0" w:line="277" w:lineRule="auto"/>
        <w:rPr>
          <w:sz w:val="20"/>
          <w:szCs w:val="20"/>
          <w:color w:val="auto"/>
        </w:rPr>
      </w:pPr>
      <w:r>
        <w:rPr>
          <w:rFonts w:ascii="Arial" w:cs="Arial" w:eastAsia="Arial" w:hAnsi="Arial"/>
          <w:sz w:val="18"/>
          <w:szCs w:val="18"/>
          <w:color w:val="auto"/>
        </w:rPr>
        <w:t>leading protection and indemnity association or other leading provider of protection and indemnity insurance) (including, without limitation, the proportion (if any) of any collision liability not covered under the terms of the hull cover).</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Coverage required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Ship (including its hull and machinery, hull interest, freight interest, disbursements and/or increased value) shall at all times be insured at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Borrower’s cost:</w:t>
      </w:r>
    </w:p>
    <w:p>
      <w:pPr>
        <w:spacing w:after="0" w:line="211" w:lineRule="exact"/>
        <w:rPr>
          <w:sz w:val="20"/>
          <w:szCs w:val="20"/>
          <w:color w:val="auto"/>
        </w:rPr>
      </w:pPr>
    </w:p>
    <w:p>
      <w:pPr>
        <w:ind w:left="1300" w:right="60" w:hanging="644"/>
        <w:spacing w:after="0" w:line="280" w:lineRule="auto"/>
        <w:tabs>
          <w:tab w:leader="none" w:pos="1297"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cover shall be for no less than 80% of the agreed value referred to above and (ii) the balance of such agreed value may be covered by increased value insurance, hull interest and freight interest, each of which for an agreed value representing 1/3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of such balance of the agreed value);</w:t>
      </w:r>
    </w:p>
    <w:p>
      <w:pPr>
        <w:spacing w:after="0" w:line="88" w:lineRule="exact"/>
        <w:rPr>
          <w:rFonts w:ascii="Arial" w:cs="Arial" w:eastAsia="Arial" w:hAnsi="Arial"/>
          <w:sz w:val="17"/>
          <w:szCs w:val="17"/>
          <w:color w:val="auto"/>
        </w:rPr>
      </w:pPr>
    </w:p>
    <w:p>
      <w:pPr>
        <w:jc w:val="both"/>
        <w:ind w:left="1300" w:right="140" w:hanging="644"/>
        <w:spacing w:after="0" w:line="263" w:lineRule="auto"/>
        <w:tabs>
          <w:tab w:leader="none" w:pos="130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3" w:lineRule="exact"/>
        <w:rPr>
          <w:rFonts w:ascii="Arial" w:cs="Arial" w:eastAsia="Arial" w:hAnsi="Arial"/>
          <w:sz w:val="18"/>
          <w:szCs w:val="18"/>
          <w:color w:val="auto"/>
        </w:rPr>
      </w:pPr>
    </w:p>
    <w:p>
      <w:pPr>
        <w:ind w:left="1300" w:right="60" w:hanging="644"/>
        <w:spacing w:after="0" w:line="259" w:lineRule="auto"/>
        <w:tabs>
          <w:tab w:leader="none" w:pos="1311"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 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Placing of cover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insurance coverage required by clause 24.2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25" w:lineRule="exact"/>
        <w:rPr>
          <w:sz w:val="20"/>
          <w:szCs w:val="20"/>
          <w:color w:val="auto"/>
        </w:rPr>
      </w:pPr>
    </w:p>
    <w:p>
      <w:pPr>
        <w:ind w:left="1300" w:right="20" w:hanging="644"/>
        <w:spacing w:after="0" w:line="272" w:lineRule="auto"/>
        <w:tabs>
          <w:tab w:leader="none" w:pos="1297" w:val="left"/>
        </w:tabs>
        <w:numPr>
          <w:ilvl w:val="0"/>
          <w:numId w:val="394"/>
        </w:numPr>
        <w:rPr>
          <w:rFonts w:ascii="Arial" w:cs="Arial" w:eastAsia="Arial" w:hAnsi="Arial"/>
          <w:sz w:val="17"/>
          <w:szCs w:val="17"/>
          <w:color w:val="auto"/>
        </w:rPr>
      </w:pPr>
      <w:r>
        <w:rPr>
          <w:rFonts w:ascii="Arial" w:cs="Arial" w:eastAsia="Arial" w:hAnsi="Arial"/>
          <w:sz w:val="17"/>
          <w:szCs w:val="17"/>
          <w:color w:val="auto"/>
        </w:rPr>
        <w:t>in the name of the Borrower and parties related to the operation and management of the Ship (subject to providing an assignment of their interest in the Insurances to the Finance Parties in agreed form) and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25" w:lineRule="exact"/>
        <w:rPr>
          <w:rFonts w:ascii="Arial" w:cs="Arial" w:eastAsia="Arial" w:hAnsi="Arial"/>
          <w:sz w:val="18"/>
          <w:szCs w:val="18"/>
          <w:color w:val="auto"/>
        </w:rPr>
      </w:pPr>
    </w:p>
    <w:p>
      <w:pPr>
        <w:ind w:left="1300" w:right="80" w:hanging="644"/>
        <w:spacing w:after="0" w:line="263" w:lineRule="auto"/>
        <w:tabs>
          <w:tab w:leader="none" w:pos="1311"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3" w:lineRule="exact"/>
        <w:rPr>
          <w:rFonts w:ascii="Arial" w:cs="Arial" w:eastAsia="Arial" w:hAnsi="Arial"/>
          <w:sz w:val="18"/>
          <w:szCs w:val="18"/>
          <w:color w:val="auto"/>
        </w:rPr>
      </w:pPr>
    </w:p>
    <w:p>
      <w:pPr>
        <w:ind w:left="1300" w:hanging="644"/>
        <w:spacing w:after="0" w:line="286" w:lineRule="auto"/>
        <w:tabs>
          <w:tab w:leader="none" w:pos="1307" w:val="left"/>
        </w:tabs>
        <w:numPr>
          <w:ilvl w:val="0"/>
          <w:numId w:val="394"/>
        </w:numPr>
        <w:rPr>
          <w:rFonts w:ascii="Arial" w:cs="Arial" w:eastAsia="Arial" w:hAnsi="Arial"/>
          <w:sz w:val="17"/>
          <w:szCs w:val="17"/>
          <w:color w:val="auto"/>
        </w:rPr>
      </w:pPr>
      <w:r>
        <w:rPr>
          <w:rFonts w:ascii="Arial" w:cs="Arial" w:eastAsia="Arial" w:hAnsi="Arial"/>
          <w:sz w:val="17"/>
          <w:szCs w:val="17"/>
          <w:color w:val="auto"/>
        </w:rPr>
        <w:t>on terms approved by the Agent, acting reasonably (and always applying the terms of the Institute Time Clauses 1/10/1983, equivalent clauses under the Nordic Marine Insurance Plan of 2013 or equivalent International Hull Clauses if available in the insurance market) and with insurers or associations approved by the Agent (acting on the instructions of the Majority Lenders).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2" w:name="page333"/>
    <w:bookmarkEnd w:id="332"/>
    <w:p>
      <w:pPr>
        <w:spacing w:after="0"/>
        <w:tabs>
          <w:tab w:leader="none" w:pos="6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Deductibles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aggregate amount of any excess or deductible under the Ship’s hull cover shall not exceed $1,000,000 or any other approved amount.</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Mortgagee’s insurance</w:t>
      </w:r>
    </w:p>
    <w:p>
      <w:pPr>
        <w:spacing w:after="0" w:line="229" w:lineRule="exact"/>
        <w:rPr>
          <w:sz w:val="20"/>
          <w:szCs w:val="20"/>
          <w:color w:val="auto"/>
        </w:rPr>
      </w:pPr>
    </w:p>
    <w:p>
      <w:pPr>
        <w:ind w:left="1300" w:right="60" w:hanging="644"/>
        <w:spacing w:after="0" w:line="301" w:lineRule="auto"/>
        <w:tabs>
          <w:tab w:leader="none" w:pos="1347"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Borrower shall promptly reimburse to the Agent the cost (as conclusively certified by the Agent) of taking out and keeping in force in respect of the Ship on approved terms, or in considering or making claims under a mortgagee’s interest insurance and a mortgagee’s additional perils (pollution risks) cover for the benefit of the Finance Parties for an aggregate amount up to 120% per cent of the aggregate of (i) the Loan and (ii) the Hedging Exposure under all Hedging Contracts of all Hedging Providers at such time.</w:t>
      </w:r>
    </w:p>
    <w:p>
      <w:pPr>
        <w:spacing w:after="0" w:line="157" w:lineRule="exact"/>
        <w:rPr>
          <w:rFonts w:ascii="Arial" w:cs="Arial" w:eastAsia="Arial" w:hAnsi="Arial"/>
          <w:sz w:val="16"/>
          <w:szCs w:val="16"/>
          <w:color w:val="auto"/>
        </w:rPr>
      </w:pPr>
    </w:p>
    <w:p>
      <w:pPr>
        <w:ind w:left="1300" w:right="60" w:hanging="644"/>
        <w:spacing w:after="0" w:line="263" w:lineRule="auto"/>
        <w:tabs>
          <w:tab w:leader="none" w:pos="1357"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and mortgagee’s additional perils (pollution risks) cover (on the terms provided under clause 24.5(a)) prior to the Utilisation and keep such mortgagee’s interest insurance and mortgagee’s additional perils (pollution risks) cover in force in respect of the Ship throughout the Mortgage Period.</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5"/>
          <w:szCs w:val="15"/>
          <w:b w:val="1"/>
          <w:bCs w:val="1"/>
          <w:color w:val="auto"/>
        </w:rPr>
        <w:t>Fleet liens, set off and cancellations</w:t>
      </w:r>
    </w:p>
    <w:p>
      <w:pPr>
        <w:spacing w:after="0" w:line="229"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4"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the Borrower shall ensure that hull cover for the Ship is provided under a separate policy from any other vessels.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6"/>
          <w:szCs w:val="16"/>
          <w:b w:val="1"/>
          <w:bCs w:val="1"/>
          <w:color w:val="auto"/>
        </w:rPr>
        <w:t>Payment of premiums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Borrower and the Agent shall be provided with all relevant receipts or other evidence of payment upon request.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Details of proposed renewal of Insurances</w:t>
      </w:r>
    </w:p>
    <w:p>
      <w:pPr>
        <w:spacing w:after="0" w:line="229"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b w:val="1"/>
          <w:bCs w:val="1"/>
          <w:color w:val="auto"/>
        </w:rPr>
        <w:t>Instructions for renewal</w:t>
      </w:r>
    </w:p>
    <w:p>
      <w:pPr>
        <w:spacing w:after="0" w:line="22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At least seven (7) days before any of the Ship’s Insurances are due to expire, instructions shall be given to brokers, insurers and associations for them to be renewed or replaced on or before their expiry.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6"/>
          <w:szCs w:val="16"/>
          <w:b w:val="1"/>
          <w:bCs w:val="1"/>
          <w:color w:val="auto"/>
        </w:rPr>
        <w:t>Confirmation of renewal</w:t>
      </w:r>
    </w:p>
    <w:p>
      <w:pPr>
        <w:spacing w:after="0" w:line="229" w:lineRule="exact"/>
        <w:rPr>
          <w:sz w:val="20"/>
          <w:szCs w:val="20"/>
          <w:color w:val="auto"/>
        </w:rPr>
      </w:pPr>
    </w:p>
    <w:p>
      <w:pPr>
        <w:ind w:left="660" w:right="220"/>
        <w:spacing w:after="0" w:line="263" w:lineRule="auto"/>
        <w:rPr>
          <w:sz w:val="20"/>
          <w:szCs w:val="20"/>
          <w:color w:val="auto"/>
        </w:rPr>
      </w:pPr>
      <w:r>
        <w:rPr>
          <w:rFonts w:ascii="Arial" w:cs="Arial" w:eastAsia="Arial" w:hAnsi="Arial"/>
          <w:sz w:val="18"/>
          <w:szCs w:val="18"/>
          <w:color w:val="auto"/>
        </w:rPr>
        <w:t>The Ship’s Insurances shall be renewed upon their expiry in a manner and on terms which comply with this clause 24 and confirmation of such renewal given by approved brokers or insurers which shall be provided to the Agent at least five (5) days (or such shorter period as may be approved) before such expiry.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33" w:name="page334"/>
    <w:bookmarkEnd w:id="333"/>
    <w:p>
      <w:pPr>
        <w:spacing w:after="0"/>
        <w:tabs>
          <w:tab w:leader="none" w:pos="620" w:val="left"/>
        </w:tabs>
        <w:rPr>
          <w:sz w:val="20"/>
          <w:szCs w:val="20"/>
          <w:color w:val="auto"/>
        </w:rPr>
      </w:pPr>
      <w:r>
        <w:rPr>
          <w:rFonts w:ascii="Arial" w:cs="Arial" w:eastAsia="Arial" w:hAnsi="Arial"/>
          <w:sz w:val="18"/>
          <w:szCs w:val="18"/>
          <w:b w:val="1"/>
          <w:bCs w:val="1"/>
          <w:color w:val="auto"/>
        </w:rPr>
        <w:t>24.11</w:t>
      </w:r>
      <w:r>
        <w:rPr>
          <w:sz w:val="20"/>
          <w:szCs w:val="20"/>
          <w:color w:val="auto"/>
        </w:rPr>
        <w:tab/>
      </w:r>
      <w:r>
        <w:rPr>
          <w:rFonts w:ascii="Arial" w:cs="Arial" w:eastAsia="Arial" w:hAnsi="Arial"/>
          <w:sz w:val="16"/>
          <w:szCs w:val="16"/>
          <w:b w:val="1"/>
          <w:bCs w:val="1"/>
          <w:color w:val="auto"/>
        </w:rPr>
        <w:t>P&amp;I guarantees</w:t>
      </w:r>
    </w:p>
    <w:p>
      <w:pPr>
        <w:spacing w:after="0" w:line="22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24.12</w:t>
      </w:r>
      <w:r>
        <w:rPr>
          <w:sz w:val="20"/>
          <w:szCs w:val="20"/>
          <w:color w:val="auto"/>
        </w:rPr>
        <w:tab/>
      </w:r>
      <w:r>
        <w:rPr>
          <w:rFonts w:ascii="Arial" w:cs="Arial" w:eastAsia="Arial" w:hAnsi="Arial"/>
          <w:sz w:val="15"/>
          <w:szCs w:val="15"/>
          <w:b w:val="1"/>
          <w:bCs w:val="1"/>
          <w:color w:val="auto"/>
        </w:rPr>
        <w:t>Insurance documents</w:t>
      </w:r>
    </w:p>
    <w:p>
      <w:pPr>
        <w:spacing w:after="0" w:line="229"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upon agreement with the relevant brokers, insurers and associations and all original insurance policies and other documents relating to the Ship’s Insurances shall be deposited with the Agent or, with the prior written consent of the Agent, any other approved person (including approved brokers).</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24.13</w:t>
      </w:r>
      <w:r>
        <w:rPr>
          <w:sz w:val="20"/>
          <w:szCs w:val="20"/>
          <w:color w:val="auto"/>
        </w:rPr>
        <w:tab/>
      </w:r>
      <w:r>
        <w:rPr>
          <w:rFonts w:ascii="Arial" w:cs="Arial" w:eastAsia="Arial" w:hAnsi="Arial"/>
          <w:sz w:val="16"/>
          <w:szCs w:val="16"/>
          <w:b w:val="1"/>
          <w:bCs w:val="1"/>
          <w:color w:val="auto"/>
        </w:rPr>
        <w:t>Letters of undertaking</w:t>
      </w:r>
    </w:p>
    <w:p>
      <w:pPr>
        <w:spacing w:after="0" w:line="229"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On each placing or renewal of the Insurances, the Agent shall be provided promptly with letters of undertaking in an approved form from the relevant brokers, insurers and associations (and taking into account standard market practice at the time).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24.14</w:t>
      </w:r>
      <w:r>
        <w:rPr>
          <w:sz w:val="20"/>
          <w:szCs w:val="20"/>
          <w:color w:val="auto"/>
        </w:rPr>
        <w:tab/>
      </w:r>
      <w:r>
        <w:rPr>
          <w:rFonts w:ascii="Arial" w:cs="Arial" w:eastAsia="Arial" w:hAnsi="Arial"/>
          <w:sz w:val="15"/>
          <w:szCs w:val="15"/>
          <w:b w:val="1"/>
          <w:bCs w:val="1"/>
          <w:color w:val="auto"/>
        </w:rPr>
        <w:t>Insurance Notices and Loss Payable Clauses</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the Borrower and, unless otherwise approved, each other person assured under the relevant cover (other than the Security Agent or any other Finance Party if it is itself an assured).</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24.15</w:t>
      </w:r>
      <w:r>
        <w:rPr>
          <w:sz w:val="20"/>
          <w:szCs w:val="20"/>
          <w:color w:val="auto"/>
        </w:rPr>
        <w:tab/>
      </w:r>
      <w:r>
        <w:rPr>
          <w:rFonts w:ascii="Arial" w:cs="Arial" w:eastAsia="Arial" w:hAnsi="Arial"/>
          <w:sz w:val="15"/>
          <w:szCs w:val="15"/>
          <w:b w:val="1"/>
          <w:bCs w:val="1"/>
          <w:color w:val="auto"/>
        </w:rPr>
        <w:t>Insurance correspondence</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 provided that these are not subject to confidentiality obligations to third parties or imposed by law and subject to the Borrower using all reasonable endeavours to obtain a waiver of any such confidentiality obligation.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24.16</w:t>
      </w:r>
      <w:r>
        <w:rPr>
          <w:sz w:val="20"/>
          <w:szCs w:val="20"/>
          <w:color w:val="auto"/>
        </w:rPr>
        <w:tab/>
      </w:r>
      <w:r>
        <w:rPr>
          <w:rFonts w:ascii="Arial" w:cs="Arial" w:eastAsia="Arial" w:hAnsi="Arial"/>
          <w:sz w:val="15"/>
          <w:szCs w:val="15"/>
          <w:b w:val="1"/>
          <w:bCs w:val="1"/>
          <w:color w:val="auto"/>
        </w:rPr>
        <w:t>Qualifications and exclusions</w:t>
      </w:r>
    </w:p>
    <w:p>
      <w:pPr>
        <w:spacing w:after="0" w:line="229"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24.17</w:t>
      </w:r>
      <w:r>
        <w:rPr>
          <w:sz w:val="20"/>
          <w:szCs w:val="20"/>
          <w:color w:val="auto"/>
        </w:rPr>
        <w:tab/>
      </w:r>
      <w:r>
        <w:rPr>
          <w:rFonts w:ascii="Arial" w:cs="Arial" w:eastAsia="Arial" w:hAnsi="Arial"/>
          <w:sz w:val="16"/>
          <w:szCs w:val="16"/>
          <w:b w:val="1"/>
          <w:bCs w:val="1"/>
          <w:color w:val="auto"/>
        </w:rPr>
        <w:t>Independent report</w:t>
      </w:r>
    </w:p>
    <w:p>
      <w:pPr>
        <w:spacing w:after="0" w:line="229" w:lineRule="exact"/>
        <w:rPr>
          <w:sz w:val="20"/>
          <w:szCs w:val="20"/>
          <w:color w:val="auto"/>
        </w:rPr>
      </w:pPr>
    </w:p>
    <w:p>
      <w:pPr>
        <w:ind w:left="660" w:right="180"/>
        <w:spacing w:after="0" w:line="293" w:lineRule="auto"/>
        <w:rPr>
          <w:sz w:val="20"/>
          <w:szCs w:val="20"/>
          <w:color w:val="auto"/>
        </w:rPr>
      </w:pPr>
      <w:r>
        <w:rPr>
          <w:rFonts w:ascii="Arial" w:cs="Arial" w:eastAsia="Arial" w:hAnsi="Arial"/>
          <w:sz w:val="16"/>
          <w:szCs w:val="16"/>
          <w:color w:val="auto"/>
        </w:rPr>
        <w:t>If the Agent (acting on the instructions of the Majority Lenders) requires and obtains a detailed report from an approved independent firm of marine insurance brokers giving their opinion on the adequacy of the Ship’s Insurances then the Agent shall appoint such broker and obtain such report and the Borrower shall reimburse the Agent for the cost of obtaining that report. The Agent shall be entitled to request and obtain such report at any time but, unless there is an Event of Default, the Borrower shall only be responsible for the cost of such reports if obtained at the times when any Insurances are placed or renewed, when insurance terms are amended or varied (including at placement or renewal), when required by the Agent pursuant to clause 24.23 (</w:t>
      </w:r>
      <w:r>
        <w:rPr>
          <w:rFonts w:ascii="Arial" w:cs="Arial" w:eastAsia="Arial" w:hAnsi="Arial"/>
          <w:sz w:val="16"/>
          <w:szCs w:val="16"/>
          <w:i w:val="1"/>
          <w:iCs w:val="1"/>
          <w:color w:val="auto"/>
        </w:rPr>
        <w:t>Change in insurance requirements</w:t>
      </w:r>
      <w:r>
        <w:rPr>
          <w:rFonts w:ascii="Arial" w:cs="Arial" w:eastAsia="Arial" w:hAnsi="Arial"/>
          <w:sz w:val="16"/>
          <w:szCs w:val="16"/>
          <w:color w:val="auto"/>
        </w:rPr>
        <w:t>) below and in any event at least once every calendar year.</w:t>
      </w:r>
    </w:p>
    <w:p>
      <w:pPr>
        <w:spacing w:after="0" w:line="1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24.18</w:t>
      </w:r>
      <w:r>
        <w:rPr>
          <w:sz w:val="20"/>
          <w:szCs w:val="20"/>
          <w:color w:val="auto"/>
        </w:rPr>
        <w:tab/>
      </w:r>
      <w:r>
        <w:rPr>
          <w:rFonts w:ascii="Arial" w:cs="Arial" w:eastAsia="Arial" w:hAnsi="Arial"/>
          <w:sz w:val="16"/>
          <w:szCs w:val="16"/>
          <w:b w:val="1"/>
          <w:bCs w:val="1"/>
          <w:color w:val="auto"/>
        </w:rPr>
        <w:t>Collection of claims</w:t>
      </w:r>
    </w:p>
    <w:p>
      <w:pPr>
        <w:spacing w:after="0" w:line="22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4" w:name="page335"/>
    <w:bookmarkEnd w:id="334"/>
    <w:p>
      <w:pPr>
        <w:spacing w:after="0"/>
        <w:tabs>
          <w:tab w:leader="none" w:pos="620" w:val="left"/>
        </w:tabs>
        <w:rPr>
          <w:sz w:val="20"/>
          <w:szCs w:val="20"/>
          <w:color w:val="auto"/>
        </w:rPr>
      </w:pPr>
      <w:r>
        <w:rPr>
          <w:rFonts w:ascii="Arial" w:cs="Arial" w:eastAsia="Arial" w:hAnsi="Arial"/>
          <w:sz w:val="18"/>
          <w:szCs w:val="18"/>
          <w:b w:val="1"/>
          <w:bCs w:val="1"/>
          <w:color w:val="auto"/>
        </w:rPr>
        <w:t>24.19</w:t>
      </w:r>
      <w:r>
        <w:rPr>
          <w:sz w:val="20"/>
          <w:szCs w:val="20"/>
          <w:color w:val="auto"/>
        </w:rPr>
        <w:tab/>
      </w:r>
      <w:r>
        <w:rPr>
          <w:rFonts w:ascii="Arial" w:cs="Arial" w:eastAsia="Arial" w:hAnsi="Arial"/>
          <w:sz w:val="16"/>
          <w:szCs w:val="16"/>
          <w:b w:val="1"/>
          <w:bCs w:val="1"/>
          <w:color w:val="auto"/>
        </w:rPr>
        <w:t>Employment of Ship</w:t>
      </w:r>
    </w:p>
    <w:p>
      <w:pPr>
        <w:spacing w:after="0" w:line="229"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24.20</w:t>
      </w:r>
      <w:r>
        <w:rPr>
          <w:sz w:val="20"/>
          <w:szCs w:val="20"/>
          <w:color w:val="auto"/>
        </w:rPr>
        <w:tab/>
      </w:r>
      <w:r>
        <w:rPr>
          <w:rFonts w:ascii="Arial" w:cs="Arial" w:eastAsia="Arial" w:hAnsi="Arial"/>
          <w:sz w:val="16"/>
          <w:szCs w:val="16"/>
          <w:b w:val="1"/>
          <w:bCs w:val="1"/>
          <w:color w:val="auto"/>
        </w:rPr>
        <w:t>Declarations and returns</w:t>
      </w:r>
    </w:p>
    <w:p>
      <w:pPr>
        <w:spacing w:after="0" w:line="229" w:lineRule="exact"/>
        <w:rPr>
          <w:sz w:val="20"/>
          <w:szCs w:val="20"/>
          <w:color w:val="auto"/>
        </w:rPr>
      </w:pPr>
    </w:p>
    <w:p>
      <w:pPr>
        <w:ind w:left="660" w:right="60"/>
        <w:spacing w:after="0" w:line="308" w:lineRule="auto"/>
        <w:rPr>
          <w:sz w:val="20"/>
          <w:szCs w:val="20"/>
          <w:color w:val="auto"/>
        </w:rPr>
      </w:pPr>
      <w:r>
        <w:rPr>
          <w:rFonts w:ascii="Arial" w:cs="Arial" w:eastAsia="Arial" w:hAnsi="Arial"/>
          <w:sz w:val="17"/>
          <w:szCs w:val="17"/>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24.21</w:t>
      </w:r>
      <w:r>
        <w:rPr>
          <w:sz w:val="20"/>
          <w:szCs w:val="20"/>
          <w:color w:val="auto"/>
        </w:rPr>
        <w:tab/>
      </w:r>
      <w:r>
        <w:rPr>
          <w:rFonts w:ascii="Arial" w:cs="Arial" w:eastAsia="Arial" w:hAnsi="Arial"/>
          <w:sz w:val="16"/>
          <w:szCs w:val="16"/>
          <w:b w:val="1"/>
          <w:bCs w:val="1"/>
          <w:color w:val="auto"/>
        </w:rPr>
        <w:t>Application of recoveries</w:t>
      </w:r>
    </w:p>
    <w:p>
      <w:pPr>
        <w:spacing w:after="0" w:line="229"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24.22</w:t>
      </w:r>
      <w:r>
        <w:rPr>
          <w:sz w:val="20"/>
          <w:szCs w:val="20"/>
          <w:color w:val="auto"/>
        </w:rPr>
        <w:tab/>
      </w:r>
      <w:r>
        <w:rPr>
          <w:rFonts w:ascii="Arial" w:cs="Arial" w:eastAsia="Arial" w:hAnsi="Arial"/>
          <w:sz w:val="16"/>
          <w:szCs w:val="16"/>
          <w:b w:val="1"/>
          <w:bCs w:val="1"/>
          <w:color w:val="auto"/>
        </w:rPr>
        <w:t>Settlement of claims</w:t>
      </w:r>
    </w:p>
    <w:p>
      <w:pPr>
        <w:spacing w:after="0" w:line="229"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Any claim under the Ship’s Insurances for a Total Loss and any claim for Major Casualty shall only be settled, compromised or abandoned with prior approval of the Majority Lenders.</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24.23</w:t>
      </w:r>
      <w:r>
        <w:rPr>
          <w:sz w:val="20"/>
          <w:szCs w:val="20"/>
          <w:color w:val="auto"/>
        </w:rPr>
        <w:tab/>
      </w:r>
      <w:r>
        <w:rPr>
          <w:rFonts w:ascii="Arial" w:cs="Arial" w:eastAsia="Arial" w:hAnsi="Arial"/>
          <w:sz w:val="16"/>
          <w:szCs w:val="16"/>
          <w:b w:val="1"/>
          <w:bCs w:val="1"/>
          <w:color w:val="auto"/>
        </w:rPr>
        <w:t>Change in insurance requirements</w:t>
      </w:r>
    </w:p>
    <w:p>
      <w:pPr>
        <w:spacing w:after="0" w:line="22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If the Agent gives notice to the Borrower to change the terms and requirements of this clause 24 or the terms of any of the Ship’s Insurances (which the Agent (acting reasonably) may only do as a result of material changes in circumstances or practice after the date of this Agreement affecting the Security Agent’s interest on the Ship, together with confirmation from its insurance adviser, in the context of a report obtained under clause 24.17 (</w:t>
      </w:r>
      <w:r>
        <w:rPr>
          <w:rFonts w:ascii="Arial" w:cs="Arial" w:eastAsia="Arial" w:hAnsi="Arial"/>
          <w:sz w:val="18"/>
          <w:szCs w:val="18"/>
          <w:i w:val="1"/>
          <w:iCs w:val="1"/>
          <w:color w:val="auto"/>
        </w:rPr>
        <w:t>Independent report)</w:t>
      </w:r>
      <w:r>
        <w:rPr>
          <w:rFonts w:ascii="Arial" w:cs="Arial" w:eastAsia="Arial" w:hAnsi="Arial"/>
          <w:sz w:val="18"/>
          <w:szCs w:val="18"/>
          <w:color w:val="auto"/>
        </w:rPr>
        <w:t xml:space="preserve"> of that material change in circumstance or practice, then:</w:t>
      </w:r>
    </w:p>
    <w:p>
      <w:pPr>
        <w:spacing w:after="0" w:line="187" w:lineRule="exact"/>
        <w:rPr>
          <w:sz w:val="20"/>
          <w:szCs w:val="20"/>
          <w:color w:val="auto"/>
        </w:rPr>
      </w:pPr>
    </w:p>
    <w:p>
      <w:pPr>
        <w:ind w:left="1300" w:right="540" w:hanging="644"/>
        <w:spacing w:after="0" w:line="308" w:lineRule="auto"/>
        <w:tabs>
          <w:tab w:leader="none" w:pos="1297" w:val="left"/>
        </w:tabs>
        <w:numPr>
          <w:ilvl w:val="0"/>
          <w:numId w:val="397"/>
        </w:numPr>
        <w:rPr>
          <w:rFonts w:ascii="Arial" w:cs="Arial" w:eastAsia="Arial" w:hAnsi="Arial"/>
          <w:sz w:val="17"/>
          <w:szCs w:val="17"/>
          <w:color w:val="auto"/>
        </w:rPr>
      </w:pPr>
      <w:r>
        <w:rPr>
          <w:rFonts w:ascii="Arial" w:cs="Arial" w:eastAsia="Arial" w:hAnsi="Arial"/>
          <w:sz w:val="17"/>
          <w:szCs w:val="17"/>
          <w:color w:val="auto"/>
        </w:rPr>
        <w:t>on the date 14 days after such notice from the Agent is received the Obligors shall agree to such modifications of this clause 24 as required by the Agent in such notice and such modifications shall be documented in a form required by the Agent; and</w:t>
      </w:r>
    </w:p>
    <w:p>
      <w:pPr>
        <w:spacing w:after="0" w:line="146" w:lineRule="exact"/>
        <w:rPr>
          <w:rFonts w:ascii="Arial" w:cs="Arial" w:eastAsia="Arial" w:hAnsi="Arial"/>
          <w:sz w:val="17"/>
          <w:szCs w:val="17"/>
          <w:color w:val="auto"/>
        </w:rPr>
      </w:pPr>
    </w:p>
    <w:p>
      <w:pPr>
        <w:ind w:left="1300" w:right="260" w:hanging="644"/>
        <w:spacing w:after="0" w:line="277" w:lineRule="auto"/>
        <w:tabs>
          <w:tab w:leader="none" w:pos="130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as soon as is required by the Agent in its notice to the Borrower, the Borrower shall change the Insurances as required by the Agent in such notice.</w:t>
      </w:r>
    </w:p>
    <w:p>
      <w:pPr>
        <w:spacing w:after="0" w:line="166" w:lineRule="exact"/>
        <w:rPr>
          <w:sz w:val="20"/>
          <w:szCs w:val="20"/>
          <w:color w:val="auto"/>
        </w:rPr>
      </w:pPr>
    </w:p>
    <w:p>
      <w:pPr>
        <w:ind w:left="640" w:hanging="632"/>
        <w:spacing w:after="0"/>
        <w:tabs>
          <w:tab w:leader="none" w:pos="6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Minimum security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Borrower undertakes that this clause 25 will be complied with throughout the Facility Period.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5"/>
          <w:szCs w:val="15"/>
          <w:b w:val="1"/>
          <w:bCs w:val="1"/>
          <w:color w:val="auto"/>
        </w:rPr>
        <w:t>Valuation of assets</w:t>
      </w:r>
    </w:p>
    <w:p>
      <w:pPr>
        <w:spacing w:after="0" w:line="22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For the purpose of the Finance Documents, the value at any time of the Ship obtained under clause 4 (</w:t>
      </w:r>
      <w:r>
        <w:rPr>
          <w:rFonts w:ascii="Arial" w:cs="Arial" w:eastAsia="Arial" w:hAnsi="Arial"/>
          <w:sz w:val="16"/>
          <w:szCs w:val="16"/>
          <w:i w:val="1"/>
          <w:iCs w:val="1"/>
          <w:color w:val="auto"/>
        </w:rPr>
        <w:t>Conditions of Utilisation</w:t>
      </w:r>
      <w:r>
        <w:rPr>
          <w:rFonts w:ascii="Arial" w:cs="Arial" w:eastAsia="Arial" w:hAnsi="Arial"/>
          <w:sz w:val="16"/>
          <w:szCs w:val="16"/>
          <w:color w:val="auto"/>
        </w:rPr>
        <w:t>), or any other asset over which additional security is provided under this clause 25, will be its value as most recently determined in accordance with this clause 25 or, if no such value has been obtained, its value determined under any valuation made pursuant to clause 4 (</w:t>
      </w:r>
      <w:r>
        <w:rPr>
          <w:rFonts w:ascii="Arial" w:cs="Arial" w:eastAsia="Arial" w:hAnsi="Arial"/>
          <w:sz w:val="16"/>
          <w:szCs w:val="16"/>
          <w:i w:val="1"/>
          <w:iCs w:val="1"/>
          <w:color w:val="auto"/>
        </w:rPr>
        <w:t>Conditions of Utilisation</w:t>
      </w:r>
      <w:r>
        <w:rPr>
          <w:rFonts w:ascii="Arial" w:cs="Arial" w:eastAsia="Arial" w:hAnsi="Arial"/>
          <w:sz w:val="16"/>
          <w:szCs w:val="16"/>
          <w:color w:val="auto"/>
        </w:rPr>
        <w:t>).</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Valuation frequency</w:t>
      </w:r>
    </w:p>
    <w:p>
      <w:pPr>
        <w:spacing w:after="0" w:line="229" w:lineRule="exact"/>
        <w:rPr>
          <w:sz w:val="20"/>
          <w:szCs w:val="20"/>
          <w:color w:val="auto"/>
        </w:rPr>
      </w:pPr>
    </w:p>
    <w:p>
      <w:pPr>
        <w:ind w:left="5540" w:right="4520" w:hanging="4884"/>
        <w:spacing w:after="0" w:line="527" w:lineRule="auto"/>
        <w:tabs>
          <w:tab w:leader="none" w:pos="130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Borrower shall provide valuations to the Agent at the following times: 80</w:t>
      </w:r>
    </w:p>
    <w:p>
      <w:pPr>
        <w:spacing w:after="0" w:line="211" w:lineRule="exact"/>
        <w:rPr>
          <w:rFonts w:ascii="Arial" w:cs="Arial" w:eastAsia="Arial" w:hAnsi="Arial"/>
          <w:sz w:val="18"/>
          <w:szCs w:val="18"/>
          <w:color w:val="auto"/>
        </w:rPr>
      </w:pPr>
    </w:p>
    <w:p>
      <w:pPr>
        <w:ind w:left="1680" w:hanging="661"/>
        <w:spacing w:after="0"/>
        <w:tabs>
          <w:tab w:leader="none" w:pos="16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in respect of the Utilisation, dated not earlier than 30 days prior to the Utilisation Date; and</w:t>
      </w:r>
    </w:p>
    <w:p>
      <w:pPr>
        <w:spacing w:after="0" w:line="225" w:lineRule="exact"/>
        <w:rPr>
          <w:rFonts w:ascii="Arial" w:cs="Arial" w:eastAsia="Arial" w:hAnsi="Arial"/>
          <w:sz w:val="18"/>
          <w:szCs w:val="18"/>
          <w:color w:val="auto"/>
        </w:rPr>
      </w:pPr>
    </w:p>
    <w:p>
      <w:pPr>
        <w:ind w:left="1660" w:right="180" w:hanging="641"/>
        <w:spacing w:after="0" w:line="261" w:lineRule="auto"/>
        <w:tabs>
          <w:tab w:leader="none" w:pos="1691" w:val="left"/>
        </w:tabs>
        <w:numPr>
          <w:ilvl w:val="1"/>
          <w:numId w:val="399"/>
        </w:numPr>
        <w:rPr>
          <w:rFonts w:ascii="Arial" w:cs="Arial" w:eastAsia="Arial" w:hAnsi="Arial"/>
          <w:sz w:val="17"/>
          <w:szCs w:val="17"/>
          <w:color w:val="auto"/>
        </w:rPr>
      </w:pPr>
      <w:r>
        <w:rPr>
          <w:rFonts w:ascii="Arial" w:cs="Arial" w:eastAsia="Arial" w:hAnsi="Arial"/>
          <w:sz w:val="17"/>
          <w:szCs w:val="17"/>
          <w:color w:val="auto"/>
        </w:rPr>
        <w:t>and in any other case, valuations dated not later than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December or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June of each calendar year and not earlier than the date 30 days prior to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December and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June of such calendar year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-847725</wp:posOffset>
            </wp:positionV>
            <wp:extent cx="71532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in each case otherwise in accordance with this clause 25.</w:t>
      </w:r>
    </w:p>
    <w:p>
      <w:pPr>
        <w:spacing w:after="0" w:line="225" w:lineRule="exact"/>
        <w:rPr>
          <w:sz w:val="20"/>
          <w:szCs w:val="20"/>
          <w:color w:val="auto"/>
        </w:rPr>
      </w:pPr>
    </w:p>
    <w:p>
      <w:pPr>
        <w:ind w:left="1020" w:right="420" w:hanging="506"/>
        <w:spacing w:after="0" w:line="308" w:lineRule="auto"/>
        <w:tabs>
          <w:tab w:leader="none" w:pos="1021"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valuations provided pursuant to paragraph (a) above may be used for any other purpose for which valuations are required under the Finance Documents, provided that such valuations comply with the relevant requirements under this clause 25.</w:t>
      </w:r>
    </w:p>
    <w:p>
      <w:pPr>
        <w:spacing w:after="0" w:line="146" w:lineRule="exact"/>
        <w:rPr>
          <w:rFonts w:ascii="Arial" w:cs="Arial" w:eastAsia="Arial" w:hAnsi="Arial"/>
          <w:sz w:val="17"/>
          <w:szCs w:val="17"/>
          <w:color w:val="auto"/>
        </w:rPr>
      </w:pPr>
    </w:p>
    <w:p>
      <w:pPr>
        <w:jc w:val="both"/>
        <w:ind w:left="1020" w:right="80" w:hanging="506"/>
        <w:spacing w:after="0" w:line="279" w:lineRule="auto"/>
        <w:tabs>
          <w:tab w:leader="none" w:pos="1024"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In addition to the valuations required pursuant to paragraph (a) above and clause 19.2(a) (</w:t>
      </w:r>
      <w:r>
        <w:rPr>
          <w:rFonts w:ascii="Arial" w:cs="Arial" w:eastAsia="Arial" w:hAnsi="Arial"/>
          <w:sz w:val="17"/>
          <w:szCs w:val="17"/>
          <w:i w:val="1"/>
          <w:iCs w:val="1"/>
          <w:color w:val="auto"/>
        </w:rPr>
        <w:t>Provision and contents of Compliance Certificates</w:t>
      </w:r>
      <w:r>
        <w:rPr>
          <w:rFonts w:ascii="Arial" w:cs="Arial" w:eastAsia="Arial" w:hAnsi="Arial"/>
          <w:sz w:val="17"/>
          <w:szCs w:val="17"/>
          <w:color w:val="auto"/>
        </w:rPr>
        <w:t xml:space="preserve"> </w:t>
      </w:r>
      <w:r>
        <w:rPr>
          <w:rFonts w:ascii="Arial" w:cs="Arial" w:eastAsia="Arial" w:hAnsi="Arial"/>
          <w:sz w:val="17"/>
          <w:szCs w:val="17"/>
          <w:i w:val="1"/>
          <w:iCs w:val="1"/>
          <w:color w:val="auto"/>
        </w:rPr>
        <w:t>and valuations</w:t>
      </w:r>
      <w:r>
        <w:rPr>
          <w:rFonts w:ascii="Arial" w:cs="Arial" w:eastAsia="Arial" w:hAnsi="Arial"/>
          <w:sz w:val="17"/>
          <w:szCs w:val="17"/>
          <w:color w:val="auto"/>
        </w:rPr>
        <w:t>), for the purpose of the Finance Documents (including for the purposes of clause 25.12 (</w:t>
      </w:r>
      <w:r>
        <w:rPr>
          <w:rFonts w:ascii="Arial" w:cs="Arial" w:eastAsia="Arial" w:hAnsi="Arial"/>
          <w:sz w:val="17"/>
          <w:szCs w:val="17"/>
          <w:i w:val="1"/>
          <w:iCs w:val="1"/>
          <w:color w:val="auto"/>
        </w:rPr>
        <w:t>Security shortfall</w:t>
      </w:r>
      <w:r>
        <w:rPr>
          <w:rFonts w:ascii="Arial" w:cs="Arial" w:eastAsia="Arial" w:hAnsi="Arial"/>
          <w:sz w:val="17"/>
          <w:szCs w:val="17"/>
          <w:color w:val="auto"/>
        </w:rPr>
        <w:t>)), valuation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Ship and each such other asset in accordance with this clause 25 may be required by the Majority Lenders at any time (but in any event not less frequently than twice per calendar year on 30 June and 31 December of each calendar year).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Expenses of valuation</w:t>
      </w:r>
    </w:p>
    <w:p>
      <w:pPr>
        <w:spacing w:after="0" w:line="229" w:lineRule="exact"/>
        <w:rPr>
          <w:sz w:val="20"/>
          <w:szCs w:val="20"/>
          <w:color w:val="auto"/>
        </w:rPr>
      </w:pPr>
    </w:p>
    <w:p>
      <w:pPr>
        <w:ind w:left="520" w:right="20"/>
        <w:spacing w:after="0" w:line="301" w:lineRule="auto"/>
        <w:rPr>
          <w:sz w:val="20"/>
          <w:szCs w:val="20"/>
          <w:color w:val="auto"/>
        </w:rPr>
      </w:pPr>
      <w:r>
        <w:rPr>
          <w:rFonts w:ascii="Arial" w:cs="Arial" w:eastAsia="Arial" w:hAnsi="Arial"/>
          <w:sz w:val="16"/>
          <w:szCs w:val="16"/>
          <w:color w:val="auto"/>
        </w:rPr>
        <w:t>The Borrower shall bear, and reimburse to the Agent where incurred by the Agent, all costs and expenses of providing such a valuation under this clause 25, provided however that if no Event of Default has occurred and is continuing the Borrower shall bear the cost of the valuations of the Ship only twice per calendar year (but excluding for such purpose any valuations of the Ship if an Event of Default exists, or a Total Loss of the Ship has occurred or has potentially occurred, or any valuations of the Ship obtained pursuant to clause 4 (</w:t>
      </w:r>
      <w:r>
        <w:rPr>
          <w:rFonts w:ascii="Arial" w:cs="Arial" w:eastAsia="Arial" w:hAnsi="Arial"/>
          <w:sz w:val="16"/>
          <w:szCs w:val="16"/>
          <w:i w:val="1"/>
          <w:iCs w:val="1"/>
          <w:color w:val="auto"/>
        </w:rPr>
        <w:t>Conditions of Utilisation</w:t>
      </w:r>
      <w:r>
        <w:rPr>
          <w:rFonts w:ascii="Arial" w:cs="Arial" w:eastAsia="Arial" w:hAnsi="Arial"/>
          <w:sz w:val="16"/>
          <w:szCs w:val="16"/>
          <w:color w:val="auto"/>
        </w:rPr>
        <w:t>)).</w:t>
      </w:r>
    </w:p>
    <w:p>
      <w:pPr>
        <w:spacing w:after="0" w:line="15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b w:val="1"/>
          <w:bCs w:val="1"/>
          <w:color w:val="auto"/>
        </w:rPr>
        <w:t>Valuations procedure</w:t>
      </w:r>
    </w:p>
    <w:p>
      <w:pPr>
        <w:sectPr>
          <w:pgSz w:w="11900" w:h="16838" w:orient="portrait"/>
          <w:cols w:equalWidth="0" w:num="1">
            <w:col w:w="11200"/>
          </w:cols>
          <w:pgMar w:left="320" w:top="337" w:right="379" w:bottom="0" w:gutter="0" w:footer="0" w:header="0"/>
        </w:sectPr>
      </w:pPr>
    </w:p>
    <w:bookmarkStart w:id="335" w:name="page336"/>
    <w:bookmarkEnd w:id="335"/>
    <w:p>
      <w:pPr>
        <w:ind w:left="1020" w:hanging="506"/>
        <w:spacing w:after="0"/>
        <w:tabs>
          <w:tab w:leader="none" w:pos="102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value of the Ship shall be determined in accordance with, and by valuers approved and appointed in accordance with, this clause 25.</w:t>
      </w:r>
    </w:p>
    <w:p>
      <w:pPr>
        <w:spacing w:after="0" w:line="248" w:lineRule="exact"/>
        <w:rPr>
          <w:rFonts w:ascii="Arial" w:cs="Arial" w:eastAsia="Arial" w:hAnsi="Arial"/>
          <w:sz w:val="16"/>
          <w:szCs w:val="16"/>
          <w:color w:val="auto"/>
        </w:rPr>
      </w:pPr>
    </w:p>
    <w:p>
      <w:pPr>
        <w:ind w:left="1020" w:right="60" w:hanging="506"/>
        <w:spacing w:after="0" w:line="263" w:lineRule="auto"/>
        <w:tabs>
          <w:tab w:leader="none" w:pos="1021"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Additional security provided under this clause 25 shall be valued in such a way, on such a basis and by such persons (including the Agent itself) as may be approved by the Majority Lenders or as may be agreed in writing by the Borrower and the Agent (on the instructions of the Majority Lenders).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Currency of valuation</w:t>
      </w:r>
    </w:p>
    <w:p>
      <w:pPr>
        <w:spacing w:after="0" w:line="229" w:lineRule="exact"/>
        <w:rPr>
          <w:sz w:val="20"/>
          <w:szCs w:val="20"/>
          <w:color w:val="auto"/>
        </w:rPr>
      </w:pPr>
    </w:p>
    <w:p>
      <w:pPr>
        <w:ind w:left="520"/>
        <w:spacing w:after="0" w:line="311" w:lineRule="auto"/>
        <w:rPr>
          <w:sz w:val="20"/>
          <w:szCs w:val="20"/>
          <w:color w:val="auto"/>
        </w:rPr>
      </w:pPr>
      <w:r>
        <w:rPr>
          <w:rFonts w:ascii="Arial" w:cs="Arial" w:eastAsia="Arial" w:hAnsi="Arial"/>
          <w:sz w:val="16"/>
          <w:szCs w:val="16"/>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5"/>
          <w:szCs w:val="15"/>
          <w:b w:val="1"/>
          <w:bCs w:val="1"/>
          <w:color w:val="auto"/>
        </w:rPr>
        <w:t>Basis of valuation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Each valuation will be addressed to the Agent in its capacity as such, it will be not more than 30 days old from its delivery to the Agent and made:</w:t>
      </w:r>
    </w:p>
    <w:p>
      <w:pPr>
        <w:spacing w:after="0" w:line="248" w:lineRule="exact"/>
        <w:rPr>
          <w:sz w:val="20"/>
          <w:szCs w:val="20"/>
          <w:color w:val="auto"/>
        </w:rPr>
      </w:pPr>
    </w:p>
    <w:p>
      <w:pPr>
        <w:ind w:left="1020" w:hanging="506"/>
        <w:spacing w:after="0"/>
        <w:tabs>
          <w:tab w:leader="none" w:pos="10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25" w:lineRule="exact"/>
        <w:rPr>
          <w:rFonts w:ascii="Arial" w:cs="Arial" w:eastAsia="Arial" w:hAnsi="Arial"/>
          <w:sz w:val="18"/>
          <w:szCs w:val="18"/>
          <w:color w:val="auto"/>
        </w:rPr>
      </w:pPr>
    </w:p>
    <w:p>
      <w:pPr>
        <w:ind w:left="1020" w:right="60" w:hanging="506"/>
        <w:spacing w:after="0" w:line="277" w:lineRule="auto"/>
        <w:tabs>
          <w:tab w:leader="none" w:pos="1021"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6" w:name="page337"/>
    <w:bookmarkEnd w:id="336"/>
    <w:p>
      <w:pPr>
        <w:spacing w:after="0"/>
        <w:tabs>
          <w:tab w:leader="none" w:pos="50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b w:val="1"/>
          <w:bCs w:val="1"/>
          <w:color w:val="auto"/>
        </w:rPr>
        <w:t>Information required for valuation</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Borrower shall promptly provide to the Agent and any such valuer any information which they reasonably require for the purposes of providing such a valuation.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Approved Brokers</w:t>
      </w:r>
    </w:p>
    <w:p>
      <w:pPr>
        <w:spacing w:after="0" w:line="229" w:lineRule="exact"/>
        <w:rPr>
          <w:sz w:val="20"/>
          <w:szCs w:val="20"/>
          <w:color w:val="auto"/>
        </w:rPr>
      </w:pPr>
    </w:p>
    <w:p>
      <w:pPr>
        <w:ind w:left="520" w:right="60"/>
        <w:spacing w:after="0" w:line="311" w:lineRule="auto"/>
        <w:rPr>
          <w:sz w:val="20"/>
          <w:szCs w:val="20"/>
          <w:color w:val="auto"/>
        </w:rPr>
      </w:pPr>
      <w:r>
        <w:rPr>
          <w:rFonts w:ascii="Arial" w:cs="Arial" w:eastAsia="Arial" w:hAnsi="Arial"/>
          <w:sz w:val="16"/>
          <w:szCs w:val="16"/>
          <w:color w:val="auto"/>
        </w:rPr>
        <w:t>All valuers must be Approved Brokers. The Agent may from time to time notify the Borrower and the Lenders of any additional independent ship brokers which have been approved by the Borrower and the Agent (acting on the instructions of the Majority Lenders) as Approved Brokers for the purposes of this clause 25 and this Agreement, and the Majority Lenders may from time to time request the replacement of an Approved Broker.</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Appointment of Approved Brokers</w:t>
      </w:r>
    </w:p>
    <w:p>
      <w:pPr>
        <w:spacing w:after="0" w:line="229" w:lineRule="exact"/>
        <w:rPr>
          <w:sz w:val="20"/>
          <w:szCs w:val="20"/>
          <w:color w:val="auto"/>
        </w:rPr>
      </w:pPr>
    </w:p>
    <w:p>
      <w:pPr>
        <w:ind w:left="520" w:right="160"/>
        <w:spacing w:after="0" w:line="257" w:lineRule="auto"/>
        <w:rPr>
          <w:sz w:val="20"/>
          <w:szCs w:val="20"/>
          <w:color w:val="auto"/>
        </w:rPr>
      </w:pPr>
      <w:r>
        <w:rPr>
          <w:rFonts w:ascii="Arial" w:cs="Arial" w:eastAsia="Arial" w:hAnsi="Arial"/>
          <w:sz w:val="18"/>
          <w:szCs w:val="18"/>
          <w:color w:val="auto"/>
        </w:rPr>
        <w:t>When a valuation is required for the purposes of this clause 25, (a) the Agent (acting on the instructions of the Majority Lenders) shall appoint the first relevant Approved Broker or, if so approved at that time, the Borrower shall promptly appoint the first relevant Approved Broker and (b) the Borrower shall promptly appoint the second relevant Approved Broker, in each case, to provide such a valuation. If the Borrower is approved to appoint the relevant Approved Brokers but fail to do so promptly, the Agent (acting on the instructions of the Majority Lenders) may appoint the relevant Approved Brokers to provide that valuation.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Number of valuers</w:t>
      </w:r>
    </w:p>
    <w:p>
      <w:pPr>
        <w:spacing w:after="0" w:line="229" w:lineRule="exact"/>
        <w:rPr>
          <w:sz w:val="20"/>
          <w:szCs w:val="20"/>
          <w:color w:val="auto"/>
        </w:rPr>
      </w:pPr>
    </w:p>
    <w:p>
      <w:pPr>
        <w:ind w:left="1020" w:right="140" w:hanging="506"/>
        <w:spacing w:after="0" w:line="263" w:lineRule="auto"/>
        <w:tabs>
          <w:tab w:leader="none" w:pos="101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one of whom shall be nominated by the Agent and the other nominated by the Borrower. If the Borrower fails promptly to nominate an Approved Broker then the Agent (acting on the instructions of the Majority Lenders) may nominate that valuer.</w:t>
      </w:r>
    </w:p>
    <w:p>
      <w:pPr>
        <w:spacing w:after="0" w:line="183" w:lineRule="exact"/>
        <w:rPr>
          <w:rFonts w:ascii="Arial" w:cs="Arial" w:eastAsia="Arial" w:hAnsi="Arial"/>
          <w:sz w:val="18"/>
          <w:szCs w:val="18"/>
          <w:color w:val="auto"/>
        </w:rPr>
      </w:pPr>
    </w:p>
    <w:p>
      <w:pPr>
        <w:ind w:left="1020" w:right="440" w:hanging="506"/>
        <w:spacing w:after="0" w:line="308" w:lineRule="auto"/>
        <w:tabs>
          <w:tab w:leader="none" w:pos="1021" w:val="left"/>
        </w:tabs>
        <w:numPr>
          <w:ilvl w:val="0"/>
          <w:numId w:val="403"/>
        </w:numPr>
        <w:rPr>
          <w:rFonts w:ascii="Arial" w:cs="Arial" w:eastAsia="Arial" w:hAnsi="Arial"/>
          <w:sz w:val="17"/>
          <w:szCs w:val="17"/>
          <w:color w:val="auto"/>
        </w:rPr>
      </w:pPr>
      <w:r>
        <w:rPr>
          <w:rFonts w:ascii="Arial" w:cs="Arial" w:eastAsia="Arial" w:hAnsi="Arial"/>
          <w:sz w:val="17"/>
          <w:szCs w:val="17"/>
          <w:color w:val="auto"/>
        </w:rPr>
        <w:t>If the two (2) valuations of the Ship made by two (2) Approved Brokers vary by more than 15%, then a third Approved Broker must be nominated by the Agent (acting on the instructions of the Majority Lenders) to provide a valuation of the Ship.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Differences in valuations</w:t>
      </w:r>
    </w:p>
    <w:p>
      <w:pPr>
        <w:spacing w:after="0" w:line="229" w:lineRule="exact"/>
        <w:rPr>
          <w:sz w:val="20"/>
          <w:szCs w:val="20"/>
          <w:color w:val="auto"/>
        </w:rPr>
      </w:pPr>
    </w:p>
    <w:p>
      <w:pPr>
        <w:ind w:left="1020" w:right="580" w:hanging="506"/>
        <w:spacing w:after="0" w:line="277" w:lineRule="auto"/>
        <w:tabs>
          <w:tab w:leader="none" w:pos="1011"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valuations of the Ship provided by different Approved Brokers differ, the value of the relevant Ship for the purposes of the Finance Documents will be the arithmetic mean of those valuations.</w:t>
      </w:r>
    </w:p>
    <w:p>
      <w:pPr>
        <w:spacing w:after="0" w:line="170" w:lineRule="exact"/>
        <w:rPr>
          <w:rFonts w:ascii="Arial" w:cs="Arial" w:eastAsia="Arial" w:hAnsi="Arial"/>
          <w:sz w:val="18"/>
          <w:szCs w:val="18"/>
          <w:color w:val="auto"/>
        </w:rPr>
      </w:pPr>
    </w:p>
    <w:p>
      <w:pPr>
        <w:ind w:left="1020" w:right="100" w:hanging="506"/>
        <w:spacing w:after="0" w:line="277" w:lineRule="auto"/>
        <w:tabs>
          <w:tab w:leader="none" w:pos="1021"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the Ship, the value of the Ship for the purposes of the Finance Documents will be the arithmetic mean of the values comprising such range.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Security shortfall</w:t>
      </w:r>
    </w:p>
    <w:p>
      <w:pPr>
        <w:spacing w:after="0" w:line="229" w:lineRule="exact"/>
        <w:rPr>
          <w:sz w:val="20"/>
          <w:szCs w:val="20"/>
          <w:color w:val="auto"/>
        </w:rPr>
      </w:pPr>
    </w:p>
    <w:p>
      <w:pPr>
        <w:ind w:left="1020" w:right="100" w:hanging="506"/>
        <w:spacing w:after="0" w:line="263" w:lineRule="auto"/>
        <w:tabs>
          <w:tab w:leader="none" w:pos="101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 require that such deficiency be remedied. The Borrower shall then within 30 days of receipt of such notice ensure that the Security Value equals or exceeds the Minimum Value. For this purpose, the Borrower may:</w:t>
      </w:r>
    </w:p>
    <w:p>
      <w:pPr>
        <w:spacing w:after="0" w:line="183" w:lineRule="exact"/>
        <w:rPr>
          <w:rFonts w:ascii="Arial" w:cs="Arial" w:eastAsia="Arial" w:hAnsi="Arial"/>
          <w:sz w:val="18"/>
          <w:szCs w:val="18"/>
          <w:color w:val="auto"/>
        </w:rPr>
      </w:pPr>
    </w:p>
    <w:p>
      <w:pPr>
        <w:ind w:left="1520" w:right="580" w:hanging="501"/>
        <w:spacing w:after="0" w:line="277" w:lineRule="auto"/>
        <w:tabs>
          <w:tab w:leader="none" w:pos="153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provide additional security over cash in dollars and/or, following the approval of all Lenders, over other assets, in each case in accordance with this clause 25; or</w:t>
      </w:r>
    </w:p>
    <w:p>
      <w:pPr>
        <w:spacing w:after="0" w:line="170" w:lineRule="exact"/>
        <w:rPr>
          <w:rFonts w:ascii="Arial" w:cs="Arial" w:eastAsia="Arial" w:hAnsi="Arial"/>
          <w:sz w:val="18"/>
          <w:szCs w:val="18"/>
          <w:color w:val="auto"/>
        </w:rPr>
      </w:pPr>
    </w:p>
    <w:p>
      <w:pPr>
        <w:ind w:left="1540" w:hanging="521"/>
        <w:spacing w:after="0"/>
        <w:tabs>
          <w:tab w:leader="none" w:pos="15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prepay all or part of the Loan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560" w:hanging="541"/>
        <w:spacing w:after="0"/>
        <w:tabs>
          <w:tab w:leader="none" w:pos="15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carry out a combination of the above.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7" w:name="page338"/>
    <w:bookmarkEnd w:id="337"/>
    <w:p>
      <w:pPr>
        <w:ind w:left="1020" w:right="260" w:hanging="506"/>
        <w:spacing w:after="0" w:line="277" w:lineRule="auto"/>
        <w:tabs>
          <w:tab w:leader="none" w:pos="1021"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prepayment pursuant to clause 25.12(a)(ii), shall be made without any requirement as to any minimum amount required by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Creation of additional security</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value of any additional security which the Borrower offers to provide to remedy all or part of a shortfall in the amount of the Security Value will only be taken into account for the purposes of determining the Security Value if and when:</w:t>
      </w:r>
    </w:p>
    <w:p>
      <w:pPr>
        <w:spacing w:after="0" w:line="170" w:lineRule="exact"/>
        <w:rPr>
          <w:sz w:val="20"/>
          <w:szCs w:val="20"/>
          <w:color w:val="auto"/>
        </w:rPr>
      </w:pPr>
    </w:p>
    <w:p>
      <w:pPr>
        <w:ind w:left="1020" w:right="360" w:hanging="506"/>
        <w:spacing w:after="0" w:line="308" w:lineRule="auto"/>
        <w:tabs>
          <w:tab w:leader="none" w:pos="1011" w:val="left"/>
        </w:tabs>
        <w:numPr>
          <w:ilvl w:val="0"/>
          <w:numId w:val="407"/>
        </w:numPr>
        <w:rPr>
          <w:rFonts w:ascii="Arial" w:cs="Arial" w:eastAsia="Arial" w:hAnsi="Arial"/>
          <w:sz w:val="17"/>
          <w:szCs w:val="17"/>
          <w:color w:val="auto"/>
        </w:rPr>
      </w:pPr>
      <w:r>
        <w:rPr>
          <w:rFonts w:ascii="Arial" w:cs="Arial" w:eastAsia="Arial" w:hAnsi="Arial"/>
          <w:sz w:val="17"/>
          <w:szCs w:val="17"/>
          <w:color w:val="auto"/>
        </w:rPr>
        <w:t>that additional security and the asset over which it is created, its value and the method of its valuation have been approved by all Lenders (except in the case of otherwise approved first ranking security over cash in Dollars which shall be valued at par);</w:t>
      </w:r>
    </w:p>
    <w:p>
      <w:pPr>
        <w:spacing w:after="0" w:line="146" w:lineRule="exact"/>
        <w:rPr>
          <w:rFonts w:ascii="Arial" w:cs="Arial" w:eastAsia="Arial" w:hAnsi="Arial"/>
          <w:sz w:val="17"/>
          <w:szCs w:val="17"/>
          <w:color w:val="auto"/>
        </w:rPr>
      </w:pPr>
    </w:p>
    <w:p>
      <w:pPr>
        <w:ind w:left="1020" w:right="900" w:hanging="506"/>
        <w:spacing w:after="0" w:line="308" w:lineRule="auto"/>
        <w:tabs>
          <w:tab w:leader="none" w:pos="1021"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46" w:lineRule="exact"/>
        <w:rPr>
          <w:rFonts w:ascii="Arial" w:cs="Arial" w:eastAsia="Arial" w:hAnsi="Arial"/>
          <w:sz w:val="17"/>
          <w:szCs w:val="17"/>
          <w:color w:val="auto"/>
        </w:rPr>
      </w:pPr>
    </w:p>
    <w:p>
      <w:pPr>
        <w:ind w:left="1020" w:hanging="506"/>
        <w:spacing w:after="0"/>
        <w:tabs>
          <w:tab w:leader="none" w:pos="102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this Agreement has been unconditionally amended with such consequential amendments as required by the Agent acting reasonably; and</w:t>
      </w:r>
    </w:p>
    <w:p>
      <w:pPr>
        <w:spacing w:after="0" w:line="248" w:lineRule="exact"/>
        <w:rPr>
          <w:rFonts w:ascii="Arial" w:cs="Arial" w:eastAsia="Arial" w:hAnsi="Arial"/>
          <w:sz w:val="16"/>
          <w:szCs w:val="16"/>
          <w:color w:val="auto"/>
        </w:rPr>
      </w:pPr>
    </w:p>
    <w:p>
      <w:pPr>
        <w:ind w:left="1020" w:right="160" w:hanging="506"/>
        <w:spacing w:after="0" w:line="263" w:lineRule="auto"/>
        <w:tabs>
          <w:tab w:leader="none" w:pos="102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that amendment and additional security and its execution and (if applicable) registration.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Security release</w:t>
      </w:r>
    </w:p>
    <w:p>
      <w:pPr>
        <w:spacing w:after="0" w:line="229" w:lineRule="exact"/>
        <w:rPr>
          <w:sz w:val="20"/>
          <w:szCs w:val="20"/>
          <w:color w:val="auto"/>
        </w:rPr>
      </w:pPr>
    </w:p>
    <w:p>
      <w:pPr>
        <w:ind w:left="520" w:right="40"/>
        <w:spacing w:after="0" w:line="254" w:lineRule="auto"/>
        <w:rPr>
          <w:sz w:val="20"/>
          <w:szCs w:val="20"/>
          <w:color w:val="auto"/>
        </w:rPr>
      </w:pPr>
      <w:r>
        <w:rPr>
          <w:rFonts w:ascii="Arial" w:cs="Arial" w:eastAsia="Arial" w:hAnsi="Arial"/>
          <w:sz w:val="18"/>
          <w:szCs w:val="18"/>
          <w:color w:val="auto"/>
        </w:rPr>
        <w:t>If the Security Value shall at any time exceed the Minimum Value, and the Borrower shall previously have provided further security to the Security Agent and/or the other Finance Parties pursuant to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 the Security Agent (on the instructions of the Agent) and the other Finance Parties shall, as soon as reasonably practicable after notice from the Borrower to do so and subject to being indemnified to their satisfaction against the cost of doing so, procure the release of any such further security specified by the Borrower provided that the Agent (acting on the instructions of the Majority Lenders) is satisfied that, immediately following such release, the Security Value will equal or exceed the Minimum Value and no other Event of Default shall have occurred and be continuing and on condition that, where required by any Finance Party to obtain any credit approval or other internal authorisation to effect such release, it has first obtained the same approval or authorisation (acting reasonably).</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Chartering undertakings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undertakes that this clause 26 will be complied with in relation to the Ship throughout the Mortgage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b w:val="1"/>
          <w:bCs w:val="1"/>
          <w:color w:val="auto"/>
        </w:rPr>
        <w:t>Variations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for amendments or variations which:</w:t>
      </w:r>
    </w:p>
    <w:p>
      <w:pPr>
        <w:spacing w:after="0" w:line="225" w:lineRule="exact"/>
        <w:rPr>
          <w:sz w:val="20"/>
          <w:szCs w:val="20"/>
          <w:color w:val="auto"/>
        </w:rPr>
      </w:pPr>
    </w:p>
    <w:p>
      <w:pPr>
        <w:ind w:left="1020" w:hanging="506"/>
        <w:spacing w:after="0"/>
        <w:tabs>
          <w:tab w:leader="none" w:pos="10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reduce the tenor of a Charter;</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reduce the applicable charter rate in respect of the firm tenor of a Charter;</w:t>
      </w:r>
    </w:p>
    <w:p>
      <w:pPr>
        <w:spacing w:after="0" w:line="225" w:lineRule="exact"/>
        <w:rPr>
          <w:rFonts w:ascii="Arial" w:cs="Arial" w:eastAsia="Arial" w:hAnsi="Arial"/>
          <w:sz w:val="18"/>
          <w:szCs w:val="18"/>
          <w:color w:val="auto"/>
        </w:rPr>
      </w:pPr>
    </w:p>
    <w:p>
      <w:pPr>
        <w:ind w:left="1020" w:right="220" w:hanging="506"/>
        <w:spacing w:after="0" w:line="263" w:lineRule="auto"/>
        <w:tabs>
          <w:tab w:leader="none" w:pos="102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result in a charter hire rate during an extension of the tenor of a Charter which is materially less beneficial to the Borrower than the terms which at the time could be reasonably expected to be obtained on the open market for vessels of the same age and type as the relevant Ship and for charter commitments of a similar type and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8" w:name="page339"/>
    <w:bookmarkEnd w:id="338"/>
    <w:p>
      <w:pPr>
        <w:ind w:left="1020" w:hanging="506"/>
        <w:spacing w:after="0"/>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connection with the extension of a Charter would result in the Charterer being a Non-Acceptable Charterer;</w:t>
      </w:r>
    </w:p>
    <w:p>
      <w:pPr>
        <w:spacing w:after="0" w:line="225" w:lineRule="exact"/>
        <w:rPr>
          <w:rFonts w:ascii="Arial" w:cs="Arial" w:eastAsia="Arial" w:hAnsi="Arial"/>
          <w:sz w:val="18"/>
          <w:szCs w:val="18"/>
          <w:color w:val="auto"/>
        </w:rPr>
      </w:pPr>
    </w:p>
    <w:p>
      <w:pPr>
        <w:ind w:left="1020" w:right="280" w:hanging="506"/>
        <w:spacing w:after="0" w:line="277" w:lineRule="auto"/>
        <w:tabs>
          <w:tab w:leader="none" w:pos="102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change the scheduled dates for payment of charter hire under a Charter by more than 30 days or change the payment terms to payments in arrear;</w:t>
      </w:r>
    </w:p>
    <w:p>
      <w:pPr>
        <w:spacing w:after="0" w:line="170" w:lineRule="exact"/>
        <w:rPr>
          <w:rFonts w:ascii="Arial" w:cs="Arial" w:eastAsia="Arial" w:hAnsi="Arial"/>
          <w:sz w:val="18"/>
          <w:szCs w:val="18"/>
          <w:color w:val="auto"/>
        </w:rPr>
      </w:pPr>
    </w:p>
    <w:p>
      <w:pPr>
        <w:ind w:left="1020" w:right="540" w:hanging="506"/>
        <w:spacing w:after="0" w:line="277" w:lineRule="auto"/>
        <w:tabs>
          <w:tab w:leader="none" w:pos="101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result in any assignment, transfer or novation of a Charter Document whether from the Borrower or the relevant Charterer, any charter guarantor or any other person;</w:t>
      </w:r>
    </w:p>
    <w:p>
      <w:pPr>
        <w:spacing w:after="0" w:line="170" w:lineRule="exact"/>
        <w:rPr>
          <w:rFonts w:ascii="Arial" w:cs="Arial" w:eastAsia="Arial" w:hAnsi="Arial"/>
          <w:sz w:val="18"/>
          <w:szCs w:val="18"/>
          <w:color w:val="auto"/>
        </w:rPr>
      </w:pPr>
    </w:p>
    <w:p>
      <w:pPr>
        <w:ind w:left="1020" w:right="40" w:hanging="506"/>
        <w:spacing w:after="0" w:line="277" w:lineRule="auto"/>
        <w:tabs>
          <w:tab w:leader="none" w:pos="103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would result in the conversion of the Charter to a bareboat charter or an arrangement under which operational control over the Ship is passed to another person; or</w:t>
      </w:r>
    </w:p>
    <w:p>
      <w:pPr>
        <w:spacing w:after="0" w:line="170" w:lineRule="exact"/>
        <w:rPr>
          <w:rFonts w:ascii="Arial" w:cs="Arial" w:eastAsia="Arial" w:hAnsi="Arial"/>
          <w:sz w:val="18"/>
          <w:szCs w:val="18"/>
          <w:color w:val="auto"/>
        </w:rPr>
      </w:pPr>
    </w:p>
    <w:p>
      <w:pPr>
        <w:ind w:left="1020" w:right="360" w:hanging="506"/>
        <w:spacing w:after="0" w:line="342" w:lineRule="auto"/>
        <w:tabs>
          <w:tab w:leader="none" w:pos="1021" w:val="left"/>
        </w:tabs>
        <w:numPr>
          <w:ilvl w:val="0"/>
          <w:numId w:val="409"/>
        </w:numPr>
        <w:rPr>
          <w:rFonts w:ascii="Arial" w:cs="Arial" w:eastAsia="Arial" w:hAnsi="Arial"/>
          <w:sz w:val="16"/>
          <w:szCs w:val="16"/>
          <w:color w:val="auto"/>
        </w:rPr>
      </w:pPr>
      <w:r>
        <w:rPr>
          <w:rFonts w:ascii="Arial" w:cs="Arial" w:eastAsia="Arial" w:hAnsi="Arial"/>
          <w:sz w:val="16"/>
          <w:szCs w:val="16"/>
          <w:color w:val="auto"/>
        </w:rPr>
        <w:t>affect termination rights under a Charter or relate to or amend or otherwise affect a charter guarantee or otherwise relate to, constitute, or cause or could cause, (A) a release of a charter guarantee or (B) a release of any obligations under a charter guarantee; or</w:t>
      </w:r>
    </w:p>
    <w:p>
      <w:pPr>
        <w:spacing w:after="0" w:line="123" w:lineRule="exact"/>
        <w:rPr>
          <w:rFonts w:ascii="Arial" w:cs="Arial" w:eastAsia="Arial" w:hAnsi="Arial"/>
          <w:sz w:val="16"/>
          <w:szCs w:val="16"/>
          <w:color w:val="auto"/>
        </w:rPr>
      </w:pPr>
    </w:p>
    <w:p>
      <w:pPr>
        <w:ind w:left="1040" w:hanging="526"/>
        <w:spacing w:after="0"/>
        <w:tabs>
          <w:tab w:leader="none" w:pos="10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change the governing law, jurisdiction, assignability or mortgagee quiet enjoyment provisions of a Charter,</w:t>
      </w:r>
    </w:p>
    <w:p>
      <w:pPr>
        <w:spacing w:after="0" w:line="225" w:lineRule="exact"/>
        <w:rPr>
          <w:sz w:val="20"/>
          <w:szCs w:val="20"/>
          <w:color w:val="auto"/>
        </w:rPr>
      </w:pPr>
    </w:p>
    <w:p>
      <w:pPr>
        <w:ind w:left="500" w:right="200"/>
        <w:spacing w:after="0" w:line="263" w:lineRule="auto"/>
        <w:rPr>
          <w:sz w:val="20"/>
          <w:szCs w:val="20"/>
          <w:color w:val="auto"/>
        </w:rPr>
      </w:pPr>
      <w:r>
        <w:rPr>
          <w:rFonts w:ascii="Arial" w:cs="Arial" w:eastAsia="Arial" w:hAnsi="Arial"/>
          <w:sz w:val="18"/>
          <w:szCs w:val="18"/>
          <w:color w:val="auto"/>
        </w:rPr>
        <w:t>where, in each case, approval from the Majority Lenders shall be required, the Borrower shall be entitled to amend or vary a Charter (but not a charter guarantee) without approval. The Borrower shall notify the Agent of any variation of a Charter promptly upon such variation having been effected.</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5"/>
          <w:szCs w:val="15"/>
          <w:b w:val="1"/>
          <w:bCs w:val="1"/>
          <w:color w:val="auto"/>
        </w:rPr>
        <w:t>Releases and waivers</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Except with approval, there shall be no release by the Borrower of any obligation of any other person under any Charter Documents (including by way of novation, assignment or transfer), no waiver of any breach of any such obligation and no consent to anything which would otherwise be such a breach except if any such release, waiver or consent relates to obligations, breaches or circumstances which are not relevant to, and do not constitute:</w:t>
      </w:r>
    </w:p>
    <w:p>
      <w:pPr>
        <w:spacing w:after="0" w:line="187" w:lineRule="exact"/>
        <w:rPr>
          <w:sz w:val="20"/>
          <w:szCs w:val="20"/>
          <w:color w:val="auto"/>
        </w:rPr>
      </w:pPr>
    </w:p>
    <w:p>
      <w:pPr>
        <w:ind w:left="1020" w:hanging="506"/>
        <w:spacing w:after="0"/>
        <w:tabs>
          <w:tab w:leader="none" w:pos="10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matters referred to in, or restricted by, clause 26.1 (</w:t>
      </w:r>
      <w:r>
        <w:rPr>
          <w:rFonts w:ascii="Arial" w:cs="Arial" w:eastAsia="Arial" w:hAnsi="Arial"/>
          <w:sz w:val="18"/>
          <w:szCs w:val="18"/>
          <w:i w:val="1"/>
          <w:iCs w:val="1"/>
          <w:color w:val="auto"/>
        </w:rPr>
        <w:t>Variations</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release from any obligation to pay moneys to any of the Obligors under any Charter Documents in general.</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b w:val="1"/>
          <w:bCs w:val="1"/>
          <w:color w:val="auto"/>
        </w:rPr>
        <w:t>Termination by Borrower</w:t>
      </w:r>
    </w:p>
    <w:p>
      <w:pPr>
        <w:spacing w:after="0" w:line="229"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Except with approval, the Borrower shall not terminate or rescind any Charter Document or withdraw the Ship from service under any Charter or take any similar action.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Charter performance</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Borrower shall perform its obligations under the Charter Documents and use its reasonable endeavours to ensure that each other party to them performs their obligations under the Charter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5"/>
          <w:szCs w:val="15"/>
          <w:b w:val="1"/>
          <w:bCs w:val="1"/>
          <w:color w:val="auto"/>
        </w:rPr>
        <w:t>Notice of assignment</w:t>
      </w:r>
    </w:p>
    <w:p>
      <w:pPr>
        <w:spacing w:after="0" w:line="229" w:lineRule="exact"/>
        <w:rPr>
          <w:sz w:val="20"/>
          <w:szCs w:val="20"/>
          <w:color w:val="auto"/>
        </w:rPr>
      </w:pPr>
    </w:p>
    <w:p>
      <w:pPr>
        <w:ind w:left="520" w:right="160"/>
        <w:spacing w:after="0" w:line="293" w:lineRule="auto"/>
        <w:rPr>
          <w:sz w:val="20"/>
          <w:szCs w:val="20"/>
          <w:color w:val="auto"/>
        </w:rPr>
      </w:pPr>
      <w:r>
        <w:rPr>
          <w:rFonts w:ascii="Arial" w:cs="Arial" w:eastAsia="Arial" w:hAnsi="Arial"/>
          <w:sz w:val="16"/>
          <w:szCs w:val="16"/>
          <w:color w:val="auto"/>
        </w:rPr>
        <w:t>The Borrower shall (i) give notice of assignment of any Charter Documents to the other parties to such documents promptly upon execution of the relevant Charter Assignment in the form specified by the relevant Charter Assignment for the Ship, (ii) use best endeavours (or reasonable endeavours in the case of an acknowledgment of notice by a charter guarantor) to obtain and provide the Agent with a copy of that notice acknowledged by each counterparty of the Borrower thereunder in the form specified therein, and (iii) in the event that a Quiet Enjoyment Agreement is signed in connection with such Charter Documents, ensure that the Agent receives a copy of that notice acknowledged by each such counterparty in the form specified therein and any relevant Quiet Enjoyment Agreement, in each case as soon as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9" w:name="page340"/>
    <w:bookmarkEnd w:id="339"/>
    <w:p>
      <w:pPr>
        <w:ind w:left="520" w:right="420"/>
        <w:spacing w:after="0" w:line="342" w:lineRule="auto"/>
        <w:rPr>
          <w:sz w:val="20"/>
          <w:szCs w:val="20"/>
          <w:color w:val="auto"/>
        </w:rPr>
      </w:pPr>
      <w:r>
        <w:rPr>
          <w:rFonts w:ascii="Arial" w:cs="Arial" w:eastAsia="Arial" w:hAnsi="Arial"/>
          <w:sz w:val="16"/>
          <w:szCs w:val="16"/>
          <w:color w:val="auto"/>
        </w:rPr>
        <w:t>practically possible after the relevant Charter Assignment has been executed by the Security Agent and any relevant counterparty to such documents, and in any event at the times required under clause 4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as applicable.</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Payment of Charter Earnings</w:t>
      </w:r>
    </w:p>
    <w:p>
      <w:pPr>
        <w:spacing w:after="0" w:line="229"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All Earnings which the Borrower is entitled to receive under the Charter Documents shall be paid into the Borrower’s Earnings Account or, following an Event of Default, in the manner required by the Security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Quiet Enjoyment</w:t>
      </w:r>
    </w:p>
    <w:p>
      <w:pPr>
        <w:spacing w:after="0" w:line="229"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If required by the Charterer of a Charter as a condition to entering into the same, the Lenders agree to instruct the Security Agent to enter into a Quiet Enjoyment Agreement with such Charterer.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Bank accounts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undertakes that this clause 27 will be complied with throughout the Facility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5"/>
          <w:szCs w:val="15"/>
          <w:b w:val="1"/>
          <w:bCs w:val="1"/>
          <w:color w:val="auto"/>
        </w:rPr>
        <w:t>Earnings Accounts</w:t>
      </w:r>
    </w:p>
    <w:p>
      <w:pPr>
        <w:spacing w:after="0" w:line="225" w:lineRule="exact"/>
        <w:rPr>
          <w:sz w:val="20"/>
          <w:szCs w:val="20"/>
          <w:color w:val="auto"/>
        </w:rPr>
      </w:pPr>
    </w:p>
    <w:p>
      <w:pPr>
        <w:ind w:left="1020" w:right="460" w:hanging="506"/>
        <w:spacing w:after="0" w:line="282" w:lineRule="auto"/>
        <w:tabs>
          <w:tab w:leader="none" w:pos="1011"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The Borrower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65" w:lineRule="exact"/>
        <w:rPr>
          <w:rFonts w:ascii="Arial" w:cs="Arial" w:eastAsia="Arial" w:hAnsi="Arial"/>
          <w:sz w:val="18"/>
          <w:szCs w:val="18"/>
          <w:color w:val="auto"/>
        </w:rPr>
      </w:pPr>
    </w:p>
    <w:p>
      <w:pPr>
        <w:jc w:val="both"/>
        <w:ind w:left="1020" w:right="80" w:hanging="506"/>
        <w:spacing w:after="0" w:line="263" w:lineRule="auto"/>
        <w:tabs>
          <w:tab w:leader="none" w:pos="1021"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Earnings of the Ship and all moneys payable to the Borrower under the Ship’s Insurances and any net amounts payable to the Borrower under any Hedging Contract, shall be paid by the persons from whom they are due to an Earnings Account unless required to be paid to the Security Agent under the relevant Finance Documents.</w:t>
      </w:r>
    </w:p>
    <w:p>
      <w:pPr>
        <w:spacing w:after="0" w:line="183" w:lineRule="exact"/>
        <w:rPr>
          <w:rFonts w:ascii="Arial" w:cs="Arial" w:eastAsia="Arial" w:hAnsi="Arial"/>
          <w:sz w:val="18"/>
          <w:szCs w:val="18"/>
          <w:color w:val="auto"/>
        </w:rPr>
      </w:pPr>
    </w:p>
    <w:p>
      <w:pPr>
        <w:ind w:left="1020" w:hanging="506"/>
        <w:spacing w:after="0"/>
        <w:tabs>
          <w:tab w:leader="none" w:pos="10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Borrower shall not withdraw amounts standing to the credit of an Earnings Account except as permitted by clause 27.1(d).</w:t>
      </w:r>
    </w:p>
    <w:p>
      <w:pPr>
        <w:spacing w:after="0" w:line="225" w:lineRule="exact"/>
        <w:rPr>
          <w:rFonts w:ascii="Arial" w:cs="Arial" w:eastAsia="Arial" w:hAnsi="Arial"/>
          <w:sz w:val="18"/>
          <w:szCs w:val="18"/>
          <w:color w:val="auto"/>
        </w:rPr>
      </w:pPr>
    </w:p>
    <w:p>
      <w:pPr>
        <w:jc w:val="both"/>
        <w:ind w:left="1020" w:hanging="506"/>
        <w:spacing w:after="0" w:line="263" w:lineRule="auto"/>
        <w:tabs>
          <w:tab w:leader="none" w:pos="1021"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the relevant Account Holder(s) may withdraw moneys from an Earnings Account for any purpose whatsoever which is permitted (or not prohibited) by the terms of this Agreement and the Finance Documents and for as long as any such withdrawal will not result in the Borrower being in breach of clause 21.15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Other provisions</w:t>
      </w:r>
    </w:p>
    <w:p>
      <w:pPr>
        <w:spacing w:after="0" w:line="229" w:lineRule="exact"/>
        <w:rPr>
          <w:sz w:val="20"/>
          <w:szCs w:val="20"/>
          <w:color w:val="auto"/>
        </w:rPr>
      </w:pPr>
    </w:p>
    <w:p>
      <w:pPr>
        <w:ind w:left="1040" w:hanging="526"/>
        <w:spacing w:after="0"/>
        <w:tabs>
          <w:tab w:leader="none" w:pos="10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225" w:lineRule="exact"/>
        <w:rPr>
          <w:rFonts w:ascii="Arial" w:cs="Arial" w:eastAsia="Arial" w:hAnsi="Arial"/>
          <w:sz w:val="18"/>
          <w:szCs w:val="18"/>
          <w:color w:val="auto"/>
        </w:rPr>
      </w:pPr>
    </w:p>
    <w:p>
      <w:pPr>
        <w:ind w:left="1540" w:hanging="521"/>
        <w:spacing w:after="0"/>
        <w:tabs>
          <w:tab w:leader="none" w:pos="154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it is situated in Athens, Greece, London, England or in any other jurisdiction acceptable to the Lenders;</w:t>
      </w:r>
    </w:p>
    <w:p>
      <w:pPr>
        <w:spacing w:after="0" w:line="225" w:lineRule="exact"/>
        <w:rPr>
          <w:rFonts w:ascii="Arial" w:cs="Arial" w:eastAsia="Arial" w:hAnsi="Arial"/>
          <w:sz w:val="18"/>
          <w:szCs w:val="18"/>
          <w:color w:val="auto"/>
        </w:rPr>
      </w:pPr>
    </w:p>
    <w:p>
      <w:pPr>
        <w:ind w:left="1520" w:right="160" w:hanging="501"/>
        <w:spacing w:after="0" w:line="342" w:lineRule="auto"/>
        <w:tabs>
          <w:tab w:leader="none" w:pos="1545" w:val="left"/>
        </w:tabs>
        <w:numPr>
          <w:ilvl w:val="1"/>
          <w:numId w:val="412"/>
        </w:numPr>
        <w:rPr>
          <w:rFonts w:ascii="Arial" w:cs="Arial" w:eastAsia="Arial" w:hAnsi="Arial"/>
          <w:sz w:val="16"/>
          <w:szCs w:val="16"/>
          <w:color w:val="auto"/>
        </w:rPr>
      </w:pPr>
      <w:r>
        <w:rPr>
          <w:rFonts w:ascii="Arial" w:cs="Arial" w:eastAsia="Arial" w:hAnsi="Arial"/>
          <w:sz w:val="16"/>
          <w:szCs w:val="16"/>
          <w:color w:val="auto"/>
        </w:rPr>
        <w:t>such designation is made in writing by the Agent and acknowledged by the Borrower and specifies the names and addresses of the relevant Account Bank and the Account Holder(s) and the number and any designation or other reference attributed to the Account;</w:t>
      </w:r>
    </w:p>
    <w:p>
      <w:pPr>
        <w:spacing w:after="0" w:line="123" w:lineRule="exact"/>
        <w:rPr>
          <w:rFonts w:ascii="Arial" w:cs="Arial" w:eastAsia="Arial" w:hAnsi="Arial"/>
          <w:sz w:val="16"/>
          <w:szCs w:val="16"/>
          <w:color w:val="auto"/>
        </w:rPr>
      </w:pPr>
    </w:p>
    <w:p>
      <w:pPr>
        <w:ind w:left="1520" w:right="140" w:hanging="501"/>
        <w:spacing w:after="0" w:line="277" w:lineRule="auto"/>
        <w:tabs>
          <w:tab w:leader="none" w:pos="1554"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70" w:lineRule="exact"/>
        <w:rPr>
          <w:rFonts w:ascii="Arial" w:cs="Arial" w:eastAsia="Arial" w:hAnsi="Arial"/>
          <w:sz w:val="18"/>
          <w:szCs w:val="18"/>
          <w:color w:val="auto"/>
        </w:rPr>
      </w:pPr>
    </w:p>
    <w:p>
      <w:pPr>
        <w:ind w:left="1520" w:right="220" w:hanging="501"/>
        <w:spacing w:after="0" w:line="277" w:lineRule="auto"/>
        <w:tabs>
          <w:tab w:leader="none" w:pos="1531"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40" w:name="page341"/>
    <w:bookmarkEnd w:id="340"/>
    <w:p>
      <w:pPr>
        <w:ind w:left="1520" w:right="40" w:hanging="501"/>
        <w:spacing w:after="0" w:line="263" w:lineRule="auto"/>
        <w:tabs>
          <w:tab w:leader="none" w:pos="1521"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xml:space="preserve"> in relation to the Account and the relevant Account Security.</w:t>
      </w:r>
    </w:p>
    <w:p>
      <w:pPr>
        <w:spacing w:after="0" w:line="183" w:lineRule="exact"/>
        <w:rPr>
          <w:rFonts w:ascii="Arial" w:cs="Arial" w:eastAsia="Arial" w:hAnsi="Arial"/>
          <w:sz w:val="18"/>
          <w:szCs w:val="18"/>
          <w:color w:val="auto"/>
        </w:rPr>
      </w:pPr>
    </w:p>
    <w:p>
      <w:pPr>
        <w:jc w:val="both"/>
        <w:ind w:left="1020" w:right="40" w:hanging="506"/>
        <w:spacing w:after="0" w:line="286" w:lineRule="auto"/>
        <w:tabs>
          <w:tab w:leader="none" w:pos="1021"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until the relevant Account Security has become enforceable and the Security Agent directs otherwise.</w:t>
      </w:r>
    </w:p>
    <w:p>
      <w:pPr>
        <w:spacing w:after="0" w:line="165" w:lineRule="exact"/>
        <w:rPr>
          <w:rFonts w:ascii="Arial" w:cs="Arial" w:eastAsia="Arial" w:hAnsi="Arial"/>
          <w:sz w:val="17"/>
          <w:szCs w:val="17"/>
          <w:color w:val="auto"/>
        </w:rPr>
      </w:pPr>
    </w:p>
    <w:p>
      <w:pPr>
        <w:ind w:left="1020" w:right="120" w:hanging="506"/>
        <w:spacing w:after="0" w:line="277" w:lineRule="auto"/>
        <w:tabs>
          <w:tab w:leader="none" w:pos="102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w:t>
      </w:r>
    </w:p>
    <w:p>
      <w:pPr>
        <w:spacing w:after="0" w:line="170" w:lineRule="exact"/>
        <w:rPr>
          <w:rFonts w:ascii="Arial" w:cs="Arial" w:eastAsia="Arial" w:hAnsi="Arial"/>
          <w:sz w:val="18"/>
          <w:szCs w:val="18"/>
          <w:color w:val="auto"/>
        </w:rPr>
      </w:pPr>
    </w:p>
    <w:p>
      <w:pPr>
        <w:ind w:left="1020" w:hanging="506"/>
        <w:spacing w:after="0" w:line="263" w:lineRule="auto"/>
        <w:tabs>
          <w:tab w:leader="none" w:pos="1021"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83" w:lineRule="exact"/>
        <w:rPr>
          <w:rFonts w:ascii="Arial" w:cs="Arial" w:eastAsia="Arial" w:hAnsi="Arial"/>
          <w:sz w:val="18"/>
          <w:szCs w:val="18"/>
          <w:color w:val="auto"/>
        </w:rPr>
      </w:pPr>
    </w:p>
    <w:p>
      <w:pPr>
        <w:ind w:left="1020" w:right="20" w:hanging="506"/>
        <w:spacing w:after="0" w:line="259" w:lineRule="auto"/>
        <w:tabs>
          <w:tab w:leader="none" w:pos="102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Business restrictions</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28 will be complied with by and in respect of each Group Member to which each of the provisions below is expressed to apply.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5"/>
          <w:szCs w:val="15"/>
          <w:b w:val="1"/>
          <w:bCs w:val="1"/>
          <w:color w:val="auto"/>
        </w:rPr>
        <w:t>General negative pledge</w:t>
      </w:r>
    </w:p>
    <w:p>
      <w:pPr>
        <w:spacing w:after="0" w:line="225" w:lineRule="exact"/>
        <w:rPr>
          <w:sz w:val="20"/>
          <w:szCs w:val="20"/>
          <w:color w:val="auto"/>
        </w:rPr>
      </w:pPr>
    </w:p>
    <w:p>
      <w:pPr>
        <w:ind w:left="1020" w:hanging="506"/>
        <w:spacing w:after="0"/>
        <w:tabs>
          <w:tab w:leader="none" w:pos="10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In this clause 28.1,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28.1(d).</w:t>
      </w:r>
    </w:p>
    <w:p>
      <w:pPr>
        <w:spacing w:after="0" w:line="229" w:lineRule="exact"/>
        <w:rPr>
          <w:rFonts w:ascii="Arial" w:cs="Arial" w:eastAsia="Arial" w:hAnsi="Arial"/>
          <w:sz w:val="18"/>
          <w:szCs w:val="18"/>
          <w:color w:val="auto"/>
        </w:rPr>
      </w:pPr>
    </w:p>
    <w:p>
      <w:pPr>
        <w:ind w:left="1020" w:right="580" w:hanging="506"/>
        <w:spacing w:after="0" w:line="277" w:lineRule="auto"/>
        <w:tabs>
          <w:tab w:leader="none" w:pos="1021"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Borrower shall not permit any Security Interest to exist, arise or be created or extended over all or any part of its assets except for Permitted Security Interests.</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(Without prejudice to clauses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28.6 (</w:t>
      </w:r>
      <w:r>
        <w:rPr>
          <w:rFonts w:ascii="Arial" w:cs="Arial" w:eastAsia="Arial" w:hAnsi="Arial"/>
          <w:sz w:val="18"/>
          <w:szCs w:val="18"/>
          <w:i w:val="1"/>
          <w:iCs w:val="1"/>
          <w:color w:val="auto"/>
        </w:rPr>
        <w:t>Disposals</w:t>
      </w:r>
      <w:r>
        <w:rPr>
          <w:rFonts w:ascii="Arial" w:cs="Arial" w:eastAsia="Arial" w:hAnsi="Arial"/>
          <w:sz w:val="18"/>
          <w:szCs w:val="18"/>
          <w:color w:val="auto"/>
        </w:rPr>
        <w:t>)), the Borrower shall not:</w:t>
      </w:r>
    </w:p>
    <w:p>
      <w:pPr>
        <w:spacing w:after="0" w:line="225" w:lineRule="exact"/>
        <w:rPr>
          <w:rFonts w:ascii="Arial" w:cs="Arial" w:eastAsia="Arial" w:hAnsi="Arial"/>
          <w:sz w:val="18"/>
          <w:szCs w:val="18"/>
          <w:color w:val="auto"/>
        </w:rPr>
      </w:pPr>
    </w:p>
    <w:p>
      <w:pPr>
        <w:ind w:left="1520" w:right="180" w:hanging="501"/>
        <w:spacing w:after="0" w:line="277" w:lineRule="auto"/>
        <w:tabs>
          <w:tab w:leader="none" w:pos="153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28.6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20" w:right="80" w:hanging="501"/>
        <w:spacing w:after="0" w:line="277" w:lineRule="auto"/>
        <w:tabs>
          <w:tab w:leader="none" w:pos="1545"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70" w:lineRule="exact"/>
        <w:rPr>
          <w:rFonts w:ascii="Arial" w:cs="Arial" w:eastAsia="Arial" w:hAnsi="Arial"/>
          <w:sz w:val="18"/>
          <w:szCs w:val="18"/>
          <w:color w:val="auto"/>
        </w:rPr>
      </w:pPr>
    </w:p>
    <w:p>
      <w:pPr>
        <w:ind w:left="1520" w:right="140" w:hanging="501"/>
        <w:spacing w:after="0" w:line="277" w:lineRule="auto"/>
        <w:tabs>
          <w:tab w:leader="none" w:pos="155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70" w:lineRule="exact"/>
        <w:rPr>
          <w:rFonts w:ascii="Arial" w:cs="Arial" w:eastAsia="Arial" w:hAnsi="Arial"/>
          <w:sz w:val="18"/>
          <w:szCs w:val="18"/>
          <w:color w:val="auto"/>
        </w:rPr>
      </w:pPr>
    </w:p>
    <w:p>
      <w:pPr>
        <w:ind w:left="1540" w:hanging="521"/>
        <w:spacing w:after="0"/>
        <w:tabs>
          <w:tab w:leader="none" w:pos="154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25"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1" w:name="page342"/>
    <w:bookmarkEnd w:id="341"/>
    <w:p>
      <w:pPr>
        <w:ind w:left="1020" w:hanging="506"/>
        <w:spacing w:after="0"/>
        <w:tabs>
          <w:tab w:leader="none" w:pos="10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Clauses 28.1(b) and 28.1(c) above do not apply to any Security Interest or (as the case may be) Quasi-Security, listed below:</w:t>
      </w:r>
    </w:p>
    <w:p>
      <w:pPr>
        <w:spacing w:after="0" w:line="225" w:lineRule="exact"/>
        <w:rPr>
          <w:rFonts w:ascii="Arial" w:cs="Arial" w:eastAsia="Arial" w:hAnsi="Arial"/>
          <w:sz w:val="18"/>
          <w:szCs w:val="18"/>
          <w:color w:val="auto"/>
        </w:rPr>
      </w:pPr>
    </w:p>
    <w:p>
      <w:pPr>
        <w:ind w:left="1540" w:hanging="521"/>
        <w:spacing w:after="0"/>
        <w:tabs>
          <w:tab w:leader="none" w:pos="154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 and</w:t>
      </w:r>
    </w:p>
    <w:p>
      <w:pPr>
        <w:spacing w:after="0" w:line="225" w:lineRule="exact"/>
        <w:rPr>
          <w:rFonts w:ascii="Arial" w:cs="Arial" w:eastAsia="Arial" w:hAnsi="Arial"/>
          <w:sz w:val="18"/>
          <w:szCs w:val="18"/>
          <w:color w:val="auto"/>
        </w:rPr>
      </w:pPr>
    </w:p>
    <w:p>
      <w:pPr>
        <w:ind w:left="1540" w:hanging="521"/>
        <w:spacing w:after="0"/>
        <w:tabs>
          <w:tab w:leader="none" w:pos="154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Permitted Maritime Liens.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Financial Indebtedness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incur or permit to exist, any Financial Indebtedness owed by it to anyone else except:</w:t>
      </w:r>
    </w:p>
    <w:p>
      <w:pPr>
        <w:spacing w:after="0" w:line="225" w:lineRule="exact"/>
        <w:rPr>
          <w:sz w:val="20"/>
          <w:szCs w:val="20"/>
          <w:color w:val="auto"/>
        </w:rPr>
      </w:pPr>
    </w:p>
    <w:p>
      <w:pPr>
        <w:ind w:left="1020" w:right="340" w:hanging="506"/>
        <w:spacing w:after="0" w:line="277" w:lineRule="auto"/>
        <w:tabs>
          <w:tab w:leader="none" w:pos="1011" w:val="left"/>
        </w:tabs>
        <w:numPr>
          <w:ilvl w:val="0"/>
          <w:numId w:val="417"/>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 and Hedging Contracts for Hedging Transactions entered into pursuant to clause 28.12 (</w:t>
      </w:r>
      <w:r>
        <w:rPr>
          <w:rFonts w:ascii="Arial" w:cs="Arial" w:eastAsia="Arial" w:hAnsi="Arial"/>
          <w:sz w:val="18"/>
          <w:szCs w:val="18"/>
          <w:i w:val="1"/>
          <w:iCs w:val="1"/>
          <w:color w:val="auto"/>
        </w:rPr>
        <w:t>Hedging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380" w:hanging="506"/>
        <w:spacing w:after="0" w:line="311" w:lineRule="auto"/>
        <w:tabs>
          <w:tab w:leader="none" w:pos="1021" w:val="left"/>
        </w:tabs>
        <w:numPr>
          <w:ilvl w:val="0"/>
          <w:numId w:val="417"/>
        </w:numPr>
        <w:rPr>
          <w:rFonts w:ascii="Arial" w:cs="Arial" w:eastAsia="Arial" w:hAnsi="Arial"/>
          <w:sz w:val="16"/>
          <w:szCs w:val="16"/>
          <w:color w:val="auto"/>
        </w:rPr>
      </w:pPr>
      <w:r>
        <w:rPr>
          <w:rFonts w:ascii="Arial" w:cs="Arial" w:eastAsia="Arial" w:hAnsi="Arial"/>
          <w:sz w:val="16"/>
          <w:szCs w:val="16"/>
          <w:color w:val="auto"/>
        </w:rPr>
        <w:t>Financial Indebtedness owed to a Guarantor (provided that any such Financial Indebtedness owed by the Borrower is unsecured and is subordinated to the Finance Documents on terms approved by the Majority Lenders and which (for the avoidance of doubt) will include provisions restricting any payments being made in relation to such Financial Indebtedness whilst an Event of Default is continuing);</w:t>
      </w:r>
    </w:p>
    <w:p>
      <w:pPr>
        <w:spacing w:after="0" w:line="148" w:lineRule="exact"/>
        <w:rPr>
          <w:rFonts w:ascii="Arial" w:cs="Arial" w:eastAsia="Arial" w:hAnsi="Arial"/>
          <w:sz w:val="16"/>
          <w:szCs w:val="16"/>
          <w:color w:val="auto"/>
        </w:rPr>
      </w:pPr>
    </w:p>
    <w:p>
      <w:pPr>
        <w:ind w:left="1020" w:hanging="506"/>
        <w:spacing w:after="0"/>
        <w:tabs>
          <w:tab w:leader="none" w:pos="10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Financial Indebtedness permitted under clause 28.3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Financial Indebtedness permitted under clause 28.4 (</w:t>
      </w:r>
      <w:r>
        <w:rPr>
          <w:rFonts w:ascii="Arial" w:cs="Arial" w:eastAsia="Arial" w:hAnsi="Arial"/>
          <w:sz w:val="18"/>
          <w:szCs w:val="18"/>
          <w:i w:val="1"/>
          <w:iCs w:val="1"/>
          <w:color w:val="auto"/>
        </w:rPr>
        <w:t>Loans and credit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20" w:right="100" w:hanging="506"/>
        <w:spacing w:after="0" w:line="277" w:lineRule="auto"/>
        <w:tabs>
          <w:tab w:leader="none" w:pos="102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Financial Indebtedness comprising the Existing Indebtedness and interest (and all other amounts) in respect thereof and then only subject to and provided that it is repaid in full upon Utilisation.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Borrower shall not give or permit to exist, any guarantee by it in respect of indebtedness of any person or allow any of its indebtedness to be guaranteed by anyone else except:</w:t>
      </w:r>
    </w:p>
    <w:p>
      <w:pPr>
        <w:spacing w:after="0" w:line="170" w:lineRule="exact"/>
        <w:rPr>
          <w:sz w:val="20"/>
          <w:szCs w:val="20"/>
          <w:color w:val="auto"/>
        </w:rPr>
      </w:pPr>
    </w:p>
    <w:p>
      <w:pPr>
        <w:ind w:left="1020" w:hanging="506"/>
        <w:spacing w:after="0"/>
        <w:tabs>
          <w:tab w:leader="none" w:pos="10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25" w:lineRule="exact"/>
        <w:rPr>
          <w:rFonts w:ascii="Arial" w:cs="Arial" w:eastAsia="Arial" w:hAnsi="Arial"/>
          <w:sz w:val="18"/>
          <w:szCs w:val="18"/>
          <w:color w:val="auto"/>
        </w:rPr>
      </w:pPr>
    </w:p>
    <w:p>
      <w:pPr>
        <w:ind w:left="1020" w:right="60" w:hanging="506"/>
        <w:spacing w:after="0" w:line="277" w:lineRule="auto"/>
        <w:tabs>
          <w:tab w:leader="none" w:pos="1021" w:val="left"/>
        </w:tabs>
        <w:numPr>
          <w:ilvl w:val="0"/>
          <w:numId w:val="418"/>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5"/>
          <w:szCs w:val="15"/>
          <w:b w:val="1"/>
          <w:bCs w:val="1"/>
          <w:color w:val="auto"/>
        </w:rPr>
        <w:t>Loans and credit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make, grant or permit to exist any loans or any credit by it to anyone else other than:</w:t>
      </w:r>
    </w:p>
    <w:p>
      <w:pPr>
        <w:spacing w:after="0" w:line="225" w:lineRule="exact"/>
        <w:rPr>
          <w:sz w:val="20"/>
          <w:szCs w:val="20"/>
          <w:color w:val="auto"/>
        </w:rPr>
      </w:pPr>
    </w:p>
    <w:p>
      <w:pPr>
        <w:ind w:left="1020" w:hanging="506"/>
        <w:spacing w:after="0"/>
        <w:tabs>
          <w:tab w:leader="none" w:pos="10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28.2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5"/>
          <w:szCs w:val="15"/>
          <w:b w:val="1"/>
          <w:bCs w:val="1"/>
          <w:color w:val="auto"/>
        </w:rPr>
        <w:t>Bank accounts, operating leases and other financial transactions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w:t>
      </w:r>
    </w:p>
    <w:p>
      <w:pPr>
        <w:spacing w:after="0" w:line="225" w:lineRule="exact"/>
        <w:rPr>
          <w:sz w:val="20"/>
          <w:szCs w:val="20"/>
          <w:color w:val="auto"/>
        </w:rPr>
      </w:pPr>
    </w:p>
    <w:p>
      <w:pPr>
        <w:ind w:left="1020" w:hanging="506"/>
        <w:spacing w:after="0" w:line="342" w:lineRule="auto"/>
        <w:tabs>
          <w:tab w:leader="none" w:pos="1011" w:val="left"/>
        </w:tabs>
        <w:numPr>
          <w:ilvl w:val="0"/>
          <w:numId w:val="420"/>
        </w:numPr>
        <w:rPr>
          <w:rFonts w:ascii="Arial" w:cs="Arial" w:eastAsia="Arial" w:hAnsi="Arial"/>
          <w:sz w:val="16"/>
          <w:szCs w:val="16"/>
          <w:color w:val="auto"/>
        </w:rPr>
      </w:pPr>
      <w:r>
        <w:rPr>
          <w:rFonts w:ascii="Arial" w:cs="Arial" w:eastAsia="Arial" w:hAnsi="Arial"/>
          <w:sz w:val="16"/>
          <w:szCs w:val="16"/>
          <w:color w:val="auto"/>
        </w:rPr>
        <w:t>maintain any current or deposit account with a bank or financial institution except for (i) the Accounts and the deposit of money, operation of current accounts and the conduct of electronic banking operations through the Accounts; and (ii) any accounts opened prior to</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42" w:name="page343"/>
    <w:bookmarkEnd w:id="342"/>
    <w:p>
      <w:pPr>
        <w:ind w:left="1020"/>
        <w:spacing w:after="0"/>
        <w:rPr>
          <w:sz w:val="20"/>
          <w:szCs w:val="20"/>
          <w:color w:val="auto"/>
        </w:rPr>
      </w:pPr>
      <w:r>
        <w:rPr>
          <w:rFonts w:ascii="Arial" w:cs="Arial" w:eastAsia="Arial" w:hAnsi="Arial"/>
          <w:sz w:val="18"/>
          <w:szCs w:val="18"/>
          <w:color w:val="auto"/>
        </w:rPr>
        <w:t>this Agreement in connection with the Existing Indebtedness and until their gradual closure following the Utilisation;</w:t>
      </w:r>
    </w:p>
    <w:p>
      <w:pPr>
        <w:spacing w:after="0" w:line="225" w:lineRule="exact"/>
        <w:rPr>
          <w:sz w:val="20"/>
          <w:szCs w:val="20"/>
          <w:color w:val="auto"/>
        </w:rPr>
      </w:pPr>
    </w:p>
    <w:p>
      <w:pPr>
        <w:ind w:left="1020" w:hanging="506"/>
        <w:spacing w:after="0"/>
        <w:tabs>
          <w:tab w:leader="none" w:pos="10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be party to any banking or financial transaction, whether on or off balance sheet, that is not expressly permitted under this clause 28.</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Disposals</w:t>
      </w:r>
    </w:p>
    <w:p>
      <w:pPr>
        <w:spacing w:after="0" w:line="229" w:lineRule="exact"/>
        <w:rPr>
          <w:sz w:val="20"/>
          <w:szCs w:val="20"/>
          <w:color w:val="auto"/>
        </w:rPr>
      </w:pPr>
    </w:p>
    <w:p>
      <w:pPr>
        <w:jc w:val="both"/>
        <w:ind w:left="520" w:right="160"/>
        <w:spacing w:after="0" w:line="342" w:lineRule="auto"/>
        <w:rPr>
          <w:sz w:val="20"/>
          <w:szCs w:val="20"/>
          <w:color w:val="auto"/>
        </w:rPr>
      </w:pPr>
      <w:r>
        <w:rPr>
          <w:rFonts w:ascii="Arial" w:cs="Arial" w:eastAsia="Arial" w:hAnsi="Arial"/>
          <w:sz w:val="16"/>
          <w:szCs w:val="16"/>
          <w:color w:val="auto"/>
        </w:rPr>
        <w:t>The Borrower shall not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24" w:lineRule="exact"/>
        <w:rPr>
          <w:sz w:val="20"/>
          <w:szCs w:val="20"/>
          <w:color w:val="auto"/>
        </w:rPr>
      </w:pPr>
    </w:p>
    <w:p>
      <w:pPr>
        <w:ind w:left="1020" w:hanging="506"/>
        <w:spacing w:after="0"/>
        <w:tabs>
          <w:tab w:leader="none" w:pos="10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25" w:lineRule="exact"/>
        <w:rPr>
          <w:rFonts w:ascii="Arial" w:cs="Arial" w:eastAsia="Arial" w:hAnsi="Arial"/>
          <w:sz w:val="18"/>
          <w:szCs w:val="18"/>
          <w:color w:val="auto"/>
        </w:rPr>
      </w:pPr>
    </w:p>
    <w:p>
      <w:pPr>
        <w:ind w:left="1020" w:right="160" w:hanging="506"/>
        <w:spacing w:after="0" w:line="277" w:lineRule="auto"/>
        <w:tabs>
          <w:tab w:leader="none" w:pos="102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Borrower, in each case for cash on normal commercial terms and on an arm’s length basis;</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disposals permitted by clauses 28.1 (</w:t>
      </w:r>
      <w:r>
        <w:rPr>
          <w:rFonts w:ascii="Arial" w:cs="Arial" w:eastAsia="Arial" w:hAnsi="Arial"/>
          <w:sz w:val="16"/>
          <w:szCs w:val="16"/>
          <w:i w:val="1"/>
          <w:iCs w:val="1"/>
          <w:color w:val="auto"/>
        </w:rPr>
        <w:t>General negative pledge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28.2 (</w:t>
      </w:r>
      <w:r>
        <w:rPr>
          <w:rFonts w:ascii="Arial" w:cs="Arial" w:eastAsia="Arial" w:hAnsi="Arial"/>
          <w:sz w:val="16"/>
          <w:szCs w:val="16"/>
          <w:i w:val="1"/>
          <w:iCs w:val="1"/>
          <w:color w:val="auto"/>
        </w:rPr>
        <w:t>Financial Indebtedness</w:t>
      </w:r>
      <w:r>
        <w:rPr>
          <w:rFonts w:ascii="Arial" w:cs="Arial" w:eastAsia="Arial" w:hAnsi="Arial"/>
          <w:sz w:val="16"/>
          <w:szCs w:val="16"/>
          <w:color w:val="auto"/>
        </w:rPr>
        <w:t>) or 22.2 (</w:t>
      </w:r>
      <w:r>
        <w:rPr>
          <w:rFonts w:ascii="Arial" w:cs="Arial" w:eastAsia="Arial" w:hAnsi="Arial"/>
          <w:sz w:val="16"/>
          <w:szCs w:val="16"/>
          <w:i w:val="1"/>
          <w:iCs w:val="1"/>
          <w:color w:val="auto"/>
        </w:rPr>
        <w:t>Sale or other disposal of the Ship</w:t>
      </w:r>
      <w:r>
        <w:rPr>
          <w:rFonts w:ascii="Arial" w:cs="Arial" w:eastAsia="Arial" w:hAnsi="Arial"/>
          <w:sz w:val="16"/>
          <w:szCs w:val="16"/>
          <w:color w:val="auto"/>
        </w:rPr>
        <w:t>); and</w:t>
      </w:r>
    </w:p>
    <w:p>
      <w:pPr>
        <w:spacing w:after="0" w:line="248" w:lineRule="exact"/>
        <w:rPr>
          <w:rFonts w:ascii="Arial" w:cs="Arial" w:eastAsia="Arial" w:hAnsi="Arial"/>
          <w:sz w:val="16"/>
          <w:szCs w:val="16"/>
          <w:color w:val="auto"/>
        </w:rPr>
      </w:pPr>
    </w:p>
    <w:p>
      <w:pPr>
        <w:ind w:left="1020" w:hanging="506"/>
        <w:spacing w:after="0"/>
        <w:tabs>
          <w:tab w:leader="none" w:pos="102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Contracts and arrangements with Affiliates</w:t>
      </w:r>
    </w:p>
    <w:p>
      <w:pPr>
        <w:spacing w:after="0" w:line="229" w:lineRule="exact"/>
        <w:rPr>
          <w:sz w:val="20"/>
          <w:szCs w:val="20"/>
          <w:color w:val="auto"/>
        </w:rPr>
      </w:pPr>
    </w:p>
    <w:p>
      <w:pPr>
        <w:jc w:val="both"/>
        <w:ind w:left="520" w:right="40"/>
        <w:spacing w:after="0" w:line="263" w:lineRule="auto"/>
        <w:rPr>
          <w:sz w:val="20"/>
          <w:szCs w:val="20"/>
          <w:color w:val="auto"/>
        </w:rPr>
      </w:pPr>
      <w:r>
        <w:rPr>
          <w:rFonts w:ascii="Arial" w:cs="Arial" w:eastAsia="Arial" w:hAnsi="Arial"/>
          <w:sz w:val="18"/>
          <w:szCs w:val="18"/>
          <w:color w:val="auto"/>
        </w:rPr>
        <w:t>The Borrower shall not be party to any arrangement or contract with any of its Affiliates (other than in respect of intra-Group loans, and then only if and to the extent otherwise expressly permitted by the other provisions of this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unless such arrangement or contract is on an arm’s length basis.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5"/>
          <w:szCs w:val="15"/>
          <w:b w:val="1"/>
          <w:bCs w:val="1"/>
          <w:color w:val="auto"/>
        </w:rPr>
        <w:t>Subsidiaries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establish or acquire a company or other entity.</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5"/>
          <w:szCs w:val="15"/>
          <w:b w:val="1"/>
          <w:bCs w:val="1"/>
          <w:color w:val="auto"/>
        </w:rPr>
        <w:t>Acquisitions and investments</w:t>
      </w:r>
    </w:p>
    <w:p>
      <w:pPr>
        <w:spacing w:after="0" w:line="229"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The Borrower shall not acquire any person, business, assets or liabilities or make any investment in any person or business or enter into any joint-venture arrangement except:</w:t>
      </w:r>
    </w:p>
    <w:p>
      <w:pPr>
        <w:spacing w:after="0" w:line="170" w:lineRule="exact"/>
        <w:rPr>
          <w:sz w:val="20"/>
          <w:szCs w:val="20"/>
          <w:color w:val="auto"/>
        </w:rPr>
      </w:pPr>
    </w:p>
    <w:p>
      <w:pPr>
        <w:ind w:left="1020" w:hanging="506"/>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the Ship in the ordinary course of its business;</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t>28.10 Reduction of capital</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The Borrower shall not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Distributions and other payments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the Obligors shall:</w:t>
      </w:r>
    </w:p>
    <w:p>
      <w:pPr>
        <w:spacing w:after="0" w:line="225" w:lineRule="exact"/>
        <w:rPr>
          <w:sz w:val="20"/>
          <w:szCs w:val="20"/>
          <w:color w:val="auto"/>
        </w:rPr>
      </w:pPr>
    </w:p>
    <w:p>
      <w:pPr>
        <w:ind w:left="1020" w:right="120" w:hanging="506"/>
        <w:spacing w:after="0" w:line="263" w:lineRule="auto"/>
        <w:tabs>
          <w:tab w:leader="none" w:pos="101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183" w:lineRule="exact"/>
        <w:rPr>
          <w:rFonts w:ascii="Arial" w:cs="Arial" w:eastAsia="Arial" w:hAnsi="Arial"/>
          <w:sz w:val="18"/>
          <w:szCs w:val="18"/>
          <w:color w:val="auto"/>
        </w:rPr>
      </w:pPr>
    </w:p>
    <w:p>
      <w:pPr>
        <w:ind w:left="1020" w:right="600" w:hanging="506"/>
        <w:spacing w:after="0" w:line="277" w:lineRule="auto"/>
        <w:tabs>
          <w:tab w:leader="none" w:pos="102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where the following conditions are met:</w:t>
      </w:r>
    </w:p>
    <w:p>
      <w:pPr>
        <w:spacing w:after="0" w:line="225" w:lineRule="exact"/>
        <w:rPr>
          <w:sz w:val="20"/>
          <w:szCs w:val="20"/>
          <w:color w:val="auto"/>
        </w:rPr>
      </w:pPr>
    </w:p>
    <w:p>
      <w:pPr>
        <w:ind w:left="1520" w:right="560" w:hanging="501"/>
        <w:spacing w:after="0" w:line="277" w:lineRule="auto"/>
        <w:tabs>
          <w:tab w:leader="none" w:pos="153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 the case of each Obligor, if no Event of Default is continuing at the time of the declaration or payment of any such dividend, distribution or other payment, nor would result from the declaration or payment of the same; and</w:t>
      </w:r>
    </w:p>
    <w:p>
      <w:pPr>
        <w:spacing w:after="0" w:line="170" w:lineRule="exact"/>
        <w:rPr>
          <w:rFonts w:ascii="Arial" w:cs="Arial" w:eastAsia="Arial" w:hAnsi="Arial"/>
          <w:sz w:val="18"/>
          <w:szCs w:val="18"/>
          <w:color w:val="auto"/>
        </w:rPr>
      </w:pPr>
    </w:p>
    <w:p>
      <w:pPr>
        <w:ind w:left="1520" w:right="240" w:hanging="501"/>
        <w:spacing w:after="0" w:line="263" w:lineRule="auto"/>
        <w:tabs>
          <w:tab w:leader="none" w:pos="154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additionally, but in the case of the Parent only, if, at the time when any such dividend, distribution or other payment is declared and made and following declaration and payment of the same, the Obligors would be in compliance with clause 20.2 (</w:t>
      </w:r>
      <w:r>
        <w:rPr>
          <w:rFonts w:ascii="Arial" w:cs="Arial" w:eastAsia="Arial" w:hAnsi="Arial"/>
          <w:sz w:val="18"/>
          <w:szCs w:val="18"/>
          <w:i w:val="1"/>
          <w:iCs w:val="1"/>
          <w:color w:val="auto"/>
        </w:rPr>
        <w:t>Group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28.12 Hedging</w:t>
      </w:r>
    </w:p>
    <w:p>
      <w:pPr>
        <w:spacing w:after="0" w:line="229" w:lineRule="exact"/>
        <w:rPr>
          <w:sz w:val="20"/>
          <w:szCs w:val="20"/>
          <w:color w:val="auto"/>
        </w:rPr>
      </w:pPr>
    </w:p>
    <w:p>
      <w:pPr>
        <w:ind w:left="1020" w:right="280" w:hanging="506"/>
        <w:spacing w:after="0" w:line="277" w:lineRule="auto"/>
        <w:tabs>
          <w:tab w:leader="none" w:pos="101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at any time during the Facility Period, the Borrower wishes to enter into any Treasury Transaction so as to hedge all or any part of their exposure under this Agreement to interest rate fluctuations, it shall advise the Agent in writing.</w:t>
      </w:r>
    </w:p>
    <w:p>
      <w:pPr>
        <w:spacing w:after="0" w:line="170" w:lineRule="exact"/>
        <w:rPr>
          <w:rFonts w:ascii="Arial" w:cs="Arial" w:eastAsia="Arial" w:hAnsi="Arial"/>
          <w:sz w:val="18"/>
          <w:szCs w:val="18"/>
          <w:color w:val="auto"/>
        </w:rPr>
      </w:pPr>
    </w:p>
    <w:p>
      <w:pPr>
        <w:ind w:left="1020" w:right="640" w:hanging="506"/>
        <w:spacing w:after="0" w:line="342" w:lineRule="auto"/>
        <w:tabs>
          <w:tab w:leader="none" w:pos="1021" w:val="left"/>
        </w:tabs>
        <w:numPr>
          <w:ilvl w:val="0"/>
          <w:numId w:val="426"/>
        </w:numPr>
        <w:rPr>
          <w:rFonts w:ascii="Arial" w:cs="Arial" w:eastAsia="Arial" w:hAnsi="Arial"/>
          <w:sz w:val="16"/>
          <w:szCs w:val="16"/>
          <w:color w:val="auto"/>
        </w:rPr>
      </w:pPr>
      <w:r>
        <w:rPr>
          <w:rFonts w:ascii="Arial" w:cs="Arial" w:eastAsia="Arial" w:hAnsi="Arial"/>
          <w:sz w:val="16"/>
          <w:szCs w:val="16"/>
          <w:color w:val="auto"/>
        </w:rPr>
        <w:t>Any such Treasury Transaction shall be concluded with a Hedging Provider on the terms of the Hedging Master Agreement with that Hedging Provider but (except with the approval of the Majority Lenders) no such Treasury Transaction shall be concluded unless:</w:t>
      </w:r>
    </w:p>
    <w:p>
      <w:pPr>
        <w:spacing w:after="0" w:line="123" w:lineRule="exact"/>
        <w:rPr>
          <w:rFonts w:ascii="Arial" w:cs="Arial" w:eastAsia="Arial" w:hAnsi="Arial"/>
          <w:sz w:val="16"/>
          <w:szCs w:val="16"/>
          <w:color w:val="auto"/>
        </w:rPr>
      </w:pPr>
    </w:p>
    <w:p>
      <w:pPr>
        <w:ind w:left="1520" w:right="100" w:hanging="501"/>
        <w:spacing w:after="0" w:line="277" w:lineRule="auto"/>
        <w:tabs>
          <w:tab w:leader="none" w:pos="1535"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its purpose is to hedge the Borrower’s interest rate risk in relation to the Loan for a period expiring no later than the Final Repayment Date for the Loan;</w:t>
      </w:r>
    </w:p>
    <w:p>
      <w:pPr>
        <w:spacing w:after="0" w:line="170" w:lineRule="exact"/>
        <w:rPr>
          <w:rFonts w:ascii="Arial" w:cs="Arial" w:eastAsia="Arial" w:hAnsi="Arial"/>
          <w:sz w:val="18"/>
          <w:szCs w:val="18"/>
          <w:color w:val="auto"/>
        </w:rPr>
      </w:pPr>
    </w:p>
    <w:p>
      <w:pPr>
        <w:ind w:left="1520" w:right="220" w:hanging="501"/>
        <w:spacing w:after="0" w:line="342" w:lineRule="auto"/>
        <w:tabs>
          <w:tab w:leader="none" w:pos="1545"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its notional principal amount, when aggregated with the notional principal amount of any other continuing Hedging Contracts, does not and will not exceed the Loan as then scheduled to be repaid pursuant to clause 6.2 (</w:t>
      </w:r>
      <w:r>
        <w:rPr>
          <w:rFonts w:ascii="Arial" w:cs="Arial" w:eastAsia="Arial" w:hAnsi="Arial"/>
          <w:sz w:val="16"/>
          <w:szCs w:val="16"/>
          <w:i w:val="1"/>
          <w:iCs w:val="1"/>
          <w:color w:val="auto"/>
        </w:rPr>
        <w:t>Scheduled repayment of Facility</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560" w:hanging="541"/>
        <w:spacing w:after="0"/>
        <w:tabs>
          <w:tab w:leader="none" w:pos="15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it is approved.</w:t>
      </w:r>
    </w:p>
    <w:p>
      <w:pPr>
        <w:spacing w:after="0" w:line="225" w:lineRule="exact"/>
        <w:rPr>
          <w:rFonts w:ascii="Arial" w:cs="Arial" w:eastAsia="Arial" w:hAnsi="Arial"/>
          <w:sz w:val="18"/>
          <w:szCs w:val="18"/>
          <w:color w:val="auto"/>
        </w:rPr>
      </w:pPr>
    </w:p>
    <w:p>
      <w:pPr>
        <w:ind w:left="1020" w:right="600" w:hanging="506"/>
        <w:spacing w:after="0" w:line="277" w:lineRule="auto"/>
        <w:tabs>
          <w:tab w:leader="none" w:pos="10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and when any such Treasury Transaction has been concluded, it shall constitute a Hedging Contract for the purposes of the Finance Documents.</w:t>
      </w:r>
    </w:p>
    <w:p>
      <w:pPr>
        <w:spacing w:after="0" w:line="170" w:lineRule="exact"/>
        <w:rPr>
          <w:rFonts w:ascii="Arial" w:cs="Arial" w:eastAsia="Arial" w:hAnsi="Arial"/>
          <w:sz w:val="18"/>
          <w:szCs w:val="18"/>
          <w:color w:val="auto"/>
        </w:rPr>
      </w:pPr>
    </w:p>
    <w:p>
      <w:pPr>
        <w:ind w:left="1020" w:right="60" w:hanging="506"/>
        <w:spacing w:after="0" w:line="259" w:lineRule="auto"/>
        <w:tabs>
          <w:tab w:leader="none" w:pos="1021"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If, at any time, and whether as a result of any prepayment (in whole or in part) of the Loan or any cancellation (in whole or in part) of any Commitment or otherwise, the aggregate notional principal amount under all Hedging Transactions in respect of the Loan entered into by the Borrower exceeds or will exceed the amount of the Loan outstanding at that time after such prepayment or cancellation, then (unless otherwise approved by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4" w:name="page345"/>
    <w:bookmarkEnd w:id="344"/>
    <w:p>
      <w:pPr>
        <w:ind w:left="1020"/>
        <w:spacing w:after="0" w:line="269" w:lineRule="auto"/>
        <w:rPr>
          <w:sz w:val="20"/>
          <w:szCs w:val="20"/>
          <w:color w:val="auto"/>
        </w:rPr>
      </w:pPr>
      <w:r>
        <w:rPr>
          <w:rFonts w:ascii="Arial" w:cs="Arial" w:eastAsia="Arial" w:hAnsi="Arial"/>
          <w:sz w:val="17"/>
          <w:szCs w:val="17"/>
          <w:color w:val="auto"/>
        </w:rPr>
        <w:t>Majority Lenders) the Borrower shall immediately close out and terminate sufficient Hedging Transactions as are necessary to ensure that the aggregate notional principal amount under the remaining continuing Hedging Transactions in relation to the Loan equals, and will in the future be equal to, the Loan at that time and as scheduled to be repaid from time to time thereafter pursuant to clause 6.2 (</w:t>
      </w:r>
      <w:r>
        <w:rPr>
          <w:rFonts w:ascii="Arial" w:cs="Arial" w:eastAsia="Arial" w:hAnsi="Arial"/>
          <w:sz w:val="17"/>
          <w:szCs w:val="17"/>
          <w:i w:val="1"/>
          <w:iCs w:val="1"/>
          <w:color w:val="auto"/>
        </w:rPr>
        <w:t>Scheduled</w:t>
      </w:r>
      <w:r>
        <w:rPr>
          <w:rFonts w:ascii="Arial" w:cs="Arial" w:eastAsia="Arial" w:hAnsi="Arial"/>
          <w:sz w:val="17"/>
          <w:szCs w:val="17"/>
          <w:color w:val="auto"/>
        </w:rPr>
        <w:t xml:space="preserve"> </w:t>
      </w:r>
      <w:r>
        <w:rPr>
          <w:rFonts w:ascii="Arial" w:cs="Arial" w:eastAsia="Arial" w:hAnsi="Arial"/>
          <w:sz w:val="17"/>
          <w:szCs w:val="17"/>
          <w:i w:val="1"/>
          <w:iCs w:val="1"/>
          <w:color w:val="auto"/>
        </w:rPr>
        <w:t>repayment of Facility</w:t>
      </w:r>
      <w:r>
        <w:rPr>
          <w:rFonts w:ascii="Arial" w:cs="Arial" w:eastAsia="Arial" w:hAnsi="Arial"/>
          <w:sz w:val="17"/>
          <w:szCs w:val="17"/>
          <w:color w:val="auto"/>
        </w:rPr>
        <w:t>). For the avoidance of doubt, in respect of termination of Hedging Transactions pursuant to this paragraph (d), the Early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Date (as defined in the relevant Hedging Master Agreement) shall be the date of the prepayment (in whole or in part) of the Loan or cancellation of (in whole or in part) any Commitment and any relevant payment of a Close-Out Amount (as defined in the relevant Hedging Master Agreement) shall be made pursuant to the provisions of section 6(d)(ii) of the Hedging Master Agreement provided that such payment shall occur no later than ten (10) Business Days from (but excluding) the relevant Early Termination Date. The Borrowers shall ensure that the relevant Hedging Provider is given three (3) Business Days’ notice of the date of any prepayment or cancellation of the Loan, however, any failure by the Borrower to deliver such notice shall not prevent the Borrower from closing out and terminating the relevant Hedging Transactions in accordance with this paragraph (d).</w:t>
      </w:r>
    </w:p>
    <w:p>
      <w:pPr>
        <w:spacing w:after="0" w:line="182" w:lineRule="exact"/>
        <w:rPr>
          <w:sz w:val="20"/>
          <w:szCs w:val="20"/>
          <w:color w:val="auto"/>
        </w:rPr>
      </w:pPr>
    </w:p>
    <w:p>
      <w:pPr>
        <w:ind w:left="1020" w:right="420" w:hanging="506"/>
        <w:spacing w:after="0" w:line="263" w:lineRule="auto"/>
        <w:tabs>
          <w:tab w:leader="none" w:pos="1024"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If at any time a Hedging Provider (or its Affiliate) ceases to be a Lender in circumstances where no Affiliate of such Hedging Provider remains as a Lender (such date being an </w:t>
      </w:r>
      <w:r>
        <w:rPr>
          <w:rFonts w:ascii="Arial" w:cs="Arial" w:eastAsia="Arial" w:hAnsi="Arial"/>
          <w:sz w:val="18"/>
          <w:szCs w:val="18"/>
          <w:b w:val="1"/>
          <w:bCs w:val="1"/>
          <w:color w:val="auto"/>
        </w:rPr>
        <w:t>Exit Date</w:t>
      </w:r>
      <w:r>
        <w:rPr>
          <w:rFonts w:ascii="Arial" w:cs="Arial" w:eastAsia="Arial" w:hAnsi="Arial"/>
          <w:sz w:val="18"/>
          <w:szCs w:val="18"/>
          <w:color w:val="auto"/>
        </w:rPr>
        <w:t>) and notwithstanding any provision of any Hedging Contracts to which that Hedging Provider may be a party to the contrary:</w:t>
      </w:r>
    </w:p>
    <w:p>
      <w:pPr>
        <w:spacing w:after="0" w:line="183" w:lineRule="exact"/>
        <w:rPr>
          <w:rFonts w:ascii="Arial" w:cs="Arial" w:eastAsia="Arial" w:hAnsi="Arial"/>
          <w:sz w:val="18"/>
          <w:szCs w:val="18"/>
          <w:color w:val="auto"/>
        </w:rPr>
      </w:pPr>
    </w:p>
    <w:p>
      <w:pPr>
        <w:ind w:left="1540" w:hanging="521"/>
        <w:spacing w:after="0"/>
        <w:tabs>
          <w:tab w:leader="none" w:pos="154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unless an Event of Default is continuing, the Borrower shall either:</w:t>
      </w:r>
    </w:p>
    <w:p>
      <w:pPr>
        <w:spacing w:after="0" w:line="225" w:lineRule="exact"/>
        <w:rPr>
          <w:rFonts w:ascii="Arial" w:cs="Arial" w:eastAsia="Arial" w:hAnsi="Arial"/>
          <w:sz w:val="18"/>
          <w:szCs w:val="18"/>
          <w:color w:val="auto"/>
        </w:rPr>
      </w:pPr>
    </w:p>
    <w:p>
      <w:pPr>
        <w:ind w:left="2020" w:right="300" w:hanging="509"/>
        <w:spacing w:after="0" w:line="277" w:lineRule="auto"/>
        <w:tabs>
          <w:tab w:leader="none" w:pos="2034" w:val="left"/>
        </w:tabs>
        <w:numPr>
          <w:ilvl w:val="2"/>
          <w:numId w:val="427"/>
        </w:numPr>
        <w:rPr>
          <w:rFonts w:ascii="Arial" w:cs="Arial" w:eastAsia="Arial" w:hAnsi="Arial"/>
          <w:sz w:val="18"/>
          <w:szCs w:val="18"/>
          <w:color w:val="auto"/>
        </w:rPr>
      </w:pPr>
      <w:r>
        <w:rPr>
          <w:rFonts w:ascii="Arial" w:cs="Arial" w:eastAsia="Arial" w:hAnsi="Arial"/>
          <w:sz w:val="18"/>
          <w:szCs w:val="18"/>
          <w:color w:val="auto"/>
        </w:rPr>
        <w:t>within thirty (30) Business Days of such Exit Date, close out and terminate any and all Hedging Transactions between them and that Hedging Provider; or</w:t>
      </w:r>
    </w:p>
    <w:p>
      <w:pPr>
        <w:spacing w:after="0" w:line="170" w:lineRule="exact"/>
        <w:rPr>
          <w:rFonts w:ascii="Arial" w:cs="Arial" w:eastAsia="Arial" w:hAnsi="Arial"/>
          <w:sz w:val="18"/>
          <w:szCs w:val="18"/>
          <w:color w:val="auto"/>
        </w:rPr>
      </w:pPr>
    </w:p>
    <w:p>
      <w:pPr>
        <w:ind w:left="2020" w:right="440" w:hanging="509"/>
        <w:spacing w:after="0" w:line="277" w:lineRule="auto"/>
        <w:tabs>
          <w:tab w:leader="none" w:pos="2024" w:val="left"/>
        </w:tabs>
        <w:numPr>
          <w:ilvl w:val="2"/>
          <w:numId w:val="427"/>
        </w:numPr>
        <w:rPr>
          <w:rFonts w:ascii="Arial" w:cs="Arial" w:eastAsia="Arial" w:hAnsi="Arial"/>
          <w:sz w:val="18"/>
          <w:szCs w:val="18"/>
          <w:color w:val="auto"/>
        </w:rPr>
      </w:pPr>
      <w:r>
        <w:rPr>
          <w:rFonts w:ascii="Arial" w:cs="Arial" w:eastAsia="Arial" w:hAnsi="Arial"/>
          <w:sz w:val="18"/>
          <w:szCs w:val="18"/>
          <w:color w:val="auto"/>
        </w:rPr>
        <w:t>within thirty (30) Business Days of such Exit Date, procure that one or more other Lenders agree to novate such Hedging Transactions instead of such closing out and termination; or</w:t>
      </w:r>
    </w:p>
    <w:p>
      <w:pPr>
        <w:spacing w:after="0" w:line="170" w:lineRule="exact"/>
        <w:rPr>
          <w:sz w:val="20"/>
          <w:szCs w:val="20"/>
          <w:color w:val="auto"/>
        </w:rPr>
      </w:pPr>
    </w:p>
    <w:p>
      <w:pPr>
        <w:ind w:left="1540" w:right="300"/>
        <w:spacing w:after="0" w:line="342" w:lineRule="auto"/>
        <w:rPr>
          <w:sz w:val="20"/>
          <w:szCs w:val="20"/>
          <w:color w:val="auto"/>
        </w:rPr>
      </w:pPr>
      <w:r>
        <w:rPr>
          <w:rFonts w:ascii="Arial" w:cs="Arial" w:eastAsia="Arial" w:hAnsi="Arial"/>
          <w:sz w:val="16"/>
          <w:szCs w:val="16"/>
          <w:color w:val="auto"/>
        </w:rPr>
        <w:t>if after such thirty (30) Business Days the Borrower has not taken any action pursuant to paragraph (A) or (B) above, that Hedging Provider shall immediately close out and terminate any and all Hedging Transactions between them and that Hedging Provider; or</w:t>
      </w:r>
    </w:p>
    <w:p>
      <w:pPr>
        <w:spacing w:after="0" w:line="124" w:lineRule="exact"/>
        <w:rPr>
          <w:sz w:val="20"/>
          <w:szCs w:val="20"/>
          <w:color w:val="auto"/>
        </w:rPr>
      </w:pPr>
    </w:p>
    <w:p>
      <w:pPr>
        <w:jc w:val="both"/>
        <w:ind w:left="1520" w:right="240" w:hanging="501"/>
        <w:spacing w:after="0" w:line="263" w:lineRule="auto"/>
        <w:tabs>
          <w:tab w:leader="none" w:pos="1545" w:val="left"/>
        </w:tabs>
        <w:numPr>
          <w:ilvl w:val="1"/>
          <w:numId w:val="428"/>
        </w:numPr>
        <w:rPr>
          <w:rFonts w:ascii="Arial" w:cs="Arial" w:eastAsia="Arial" w:hAnsi="Arial"/>
          <w:sz w:val="18"/>
          <w:szCs w:val="18"/>
          <w:color w:val="auto"/>
        </w:rPr>
      </w:pPr>
      <w:r>
        <w:rPr>
          <w:rFonts w:ascii="Arial" w:cs="Arial" w:eastAsia="Arial" w:hAnsi="Arial"/>
          <w:sz w:val="18"/>
          <w:szCs w:val="18"/>
          <w:color w:val="auto"/>
        </w:rPr>
        <w:t>if an Event of Default is continuing at the time that Hedging Provider (or its Affiliate) ceases to be a Lender, that Hedging Provider shall not be required to provide the Borrower with the ten (10) Business Days within which they are entitled to exercise their rights under paragraph (i) above and may:</w:t>
      </w:r>
    </w:p>
    <w:p>
      <w:pPr>
        <w:spacing w:after="0" w:line="183" w:lineRule="exact"/>
        <w:rPr>
          <w:rFonts w:ascii="Arial" w:cs="Arial" w:eastAsia="Arial" w:hAnsi="Arial"/>
          <w:sz w:val="18"/>
          <w:szCs w:val="18"/>
          <w:color w:val="auto"/>
        </w:rPr>
      </w:pPr>
    </w:p>
    <w:p>
      <w:pPr>
        <w:ind w:left="2020" w:right="700" w:hanging="509"/>
        <w:spacing w:after="0" w:line="277" w:lineRule="auto"/>
        <w:tabs>
          <w:tab w:leader="none" w:pos="2034" w:val="left"/>
        </w:tabs>
        <w:numPr>
          <w:ilvl w:val="2"/>
          <w:numId w:val="428"/>
        </w:numPr>
        <w:rPr>
          <w:rFonts w:ascii="Arial" w:cs="Arial" w:eastAsia="Arial" w:hAnsi="Arial"/>
          <w:sz w:val="18"/>
          <w:szCs w:val="18"/>
          <w:color w:val="auto"/>
        </w:rPr>
      </w:pPr>
      <w:r>
        <w:rPr>
          <w:rFonts w:ascii="Arial" w:cs="Arial" w:eastAsia="Arial" w:hAnsi="Arial"/>
          <w:sz w:val="18"/>
          <w:szCs w:val="18"/>
          <w:color w:val="auto"/>
        </w:rPr>
        <w:t>by notice in writing to the Borrower require the Borrower to immediately close out and terminate any and all Hedging Transactions between it and that Hedging Provider; or</w:t>
      </w:r>
    </w:p>
    <w:p>
      <w:pPr>
        <w:spacing w:after="0" w:line="170" w:lineRule="exact"/>
        <w:rPr>
          <w:rFonts w:ascii="Arial" w:cs="Arial" w:eastAsia="Arial" w:hAnsi="Arial"/>
          <w:sz w:val="18"/>
          <w:szCs w:val="18"/>
          <w:color w:val="auto"/>
        </w:rPr>
      </w:pPr>
    </w:p>
    <w:p>
      <w:pPr>
        <w:ind w:left="2020" w:hanging="509"/>
        <w:spacing w:after="0"/>
        <w:tabs>
          <w:tab w:leader="none" w:pos="2020" w:val="left"/>
        </w:tabs>
        <w:numPr>
          <w:ilvl w:val="2"/>
          <w:numId w:val="428"/>
        </w:numPr>
        <w:rPr>
          <w:rFonts w:ascii="Arial" w:cs="Arial" w:eastAsia="Arial" w:hAnsi="Arial"/>
          <w:sz w:val="16"/>
          <w:szCs w:val="16"/>
          <w:color w:val="auto"/>
        </w:rPr>
      </w:pPr>
      <w:r>
        <w:rPr>
          <w:rFonts w:ascii="Arial" w:cs="Arial" w:eastAsia="Arial" w:hAnsi="Arial"/>
          <w:sz w:val="16"/>
          <w:szCs w:val="16"/>
          <w:color w:val="auto"/>
        </w:rPr>
        <w:t>procure that one or more other Lenders agree to novate such Hedging Transactions instead of such closing out or termination.</w:t>
      </w:r>
    </w:p>
    <w:p>
      <w:pPr>
        <w:spacing w:after="0" w:line="248" w:lineRule="exact"/>
        <w:rPr>
          <w:rFonts w:ascii="Arial" w:cs="Arial" w:eastAsia="Arial" w:hAnsi="Arial"/>
          <w:sz w:val="16"/>
          <w:szCs w:val="16"/>
          <w:color w:val="auto"/>
        </w:rPr>
      </w:pPr>
    </w:p>
    <w:p>
      <w:pPr>
        <w:ind w:left="1020" w:right="60" w:hanging="506"/>
        <w:spacing w:after="0" w:line="277" w:lineRule="auto"/>
        <w:tabs>
          <w:tab w:leader="none" w:pos="1018"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Except with approval or as required by paragraphs (d) and (e) above, any Hedging Master Agreement and the Hedging Contracts shall not be varied.</w:t>
      </w:r>
    </w:p>
    <w:p>
      <w:pPr>
        <w:spacing w:after="0" w:line="170" w:lineRule="exact"/>
        <w:rPr>
          <w:rFonts w:ascii="Arial" w:cs="Arial" w:eastAsia="Arial" w:hAnsi="Arial"/>
          <w:sz w:val="18"/>
          <w:szCs w:val="18"/>
          <w:color w:val="auto"/>
        </w:rPr>
      </w:pPr>
    </w:p>
    <w:p>
      <w:pPr>
        <w:ind w:left="1020" w:hanging="506"/>
        <w:spacing w:after="0" w:line="342" w:lineRule="auto"/>
        <w:tabs>
          <w:tab w:leader="none" w:pos="103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Except with approval, there shall be no release by the Borrower of any obligation of any other person under the Hedging Contracts (including by way of novation), no waiver of any breach of any such obligation and no consent to anything which would otherwise be such a breach.</w:t>
      </w:r>
    </w:p>
    <w:p>
      <w:pPr>
        <w:spacing w:after="0" w:line="123" w:lineRule="exact"/>
        <w:rPr>
          <w:rFonts w:ascii="Arial" w:cs="Arial" w:eastAsia="Arial" w:hAnsi="Arial"/>
          <w:sz w:val="16"/>
          <w:szCs w:val="16"/>
          <w:color w:val="auto"/>
        </w:rPr>
      </w:pPr>
    </w:p>
    <w:p>
      <w:pPr>
        <w:ind w:left="1020" w:right="20" w:hanging="506"/>
        <w:spacing w:after="0" w:line="277" w:lineRule="auto"/>
        <w:tabs>
          <w:tab w:leader="none" w:pos="102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Except with approval or by the Hedging Contract Security, the Borrower shall not assign or otherwise dispose of its rights under any Hedging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60" w:hanging="506"/>
        <w:spacing w:after="0" w:line="277" w:lineRule="auto"/>
        <w:tabs>
          <w:tab w:leader="none" w:pos="103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Except with approval, the Borrower shall not terminate or rescind any Hedging Contract or close out or unwind any Hedging Transaction for any reason whatsoever except:</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in accordance with paragraphs (d) and (e) above;</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1"/>
          <w:numId w:val="430"/>
        </w:numPr>
        <w:rPr>
          <w:rFonts w:ascii="Arial" w:cs="Arial" w:eastAsia="Arial" w:hAnsi="Arial"/>
          <w:sz w:val="16"/>
          <w:szCs w:val="16"/>
          <w:color w:val="auto"/>
        </w:rPr>
      </w:pPr>
      <w:r>
        <w:rPr>
          <w:rFonts w:ascii="Arial" w:cs="Arial" w:eastAsia="Arial" w:hAnsi="Arial"/>
          <w:sz w:val="16"/>
          <w:szCs w:val="16"/>
          <w:color w:val="auto"/>
        </w:rPr>
        <w:t>in respect of the refinancing of the Facility and a Hedging Provider or its Affiliate ceases to be a Lender following such refinancing;</w:t>
      </w:r>
    </w:p>
    <w:p>
      <w:pPr>
        <w:spacing w:after="0" w:line="248" w:lineRule="exact"/>
        <w:rPr>
          <w:rFonts w:ascii="Arial" w:cs="Arial" w:eastAsia="Arial" w:hAnsi="Arial"/>
          <w:sz w:val="16"/>
          <w:szCs w:val="16"/>
          <w:color w:val="auto"/>
        </w:rPr>
      </w:pPr>
    </w:p>
    <w:p>
      <w:pPr>
        <w:ind w:left="1560" w:right="660" w:hanging="515"/>
        <w:spacing w:after="0" w:line="277" w:lineRule="auto"/>
        <w:tabs>
          <w:tab w:leader="none" w:pos="1594"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if the Loan and other amounts outstanding under the Finance Documents (other than amounts outstanding under the Hedging Contracts) have been repaid by the Borrower in full or in part;</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if the Facility is cancelled in full in accordance with the terms of this Agreement;</w:t>
      </w:r>
    </w:p>
    <w:p>
      <w:pPr>
        <w:spacing w:after="0" w:line="225" w:lineRule="exact"/>
        <w:rPr>
          <w:rFonts w:ascii="Arial" w:cs="Arial" w:eastAsia="Arial" w:hAnsi="Arial"/>
          <w:sz w:val="18"/>
          <w:szCs w:val="18"/>
          <w:color w:val="auto"/>
        </w:rPr>
      </w:pPr>
    </w:p>
    <w:p>
      <w:pPr>
        <w:ind w:left="1560" w:right="80" w:hanging="515"/>
        <w:spacing w:after="0" w:line="277" w:lineRule="auto"/>
        <w:tabs>
          <w:tab w:leader="none" w:pos="1561"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if an Event of Default (as defined in the relevant Hedging Contract) has occurred as a result of an action taken by a Hedging Provider under a Hedging Contract;</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if there is overhedging (as provided in the relevant Hedging Contract); or</w:t>
      </w:r>
    </w:p>
    <w:p>
      <w:pPr>
        <w:spacing w:after="0" w:line="225" w:lineRule="exact"/>
        <w:rPr>
          <w:rFonts w:ascii="Arial" w:cs="Arial" w:eastAsia="Arial" w:hAnsi="Arial"/>
          <w:sz w:val="18"/>
          <w:szCs w:val="18"/>
          <w:color w:val="auto"/>
        </w:rPr>
      </w:pPr>
    </w:p>
    <w:p>
      <w:pPr>
        <w:ind w:left="1560" w:right="560" w:hanging="515"/>
        <w:spacing w:after="0" w:line="277" w:lineRule="auto"/>
        <w:tabs>
          <w:tab w:leader="none" w:pos="158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upon the occurrence of any “Illegality”, “Force Majeure” or “Tax Event” (as each such term is defined in the relevant Hedging Contract).</w:t>
      </w:r>
    </w:p>
    <w:p>
      <w:pPr>
        <w:spacing w:after="0" w:line="170" w:lineRule="exact"/>
        <w:rPr>
          <w:sz w:val="20"/>
          <w:szCs w:val="20"/>
          <w:color w:val="auto"/>
        </w:rPr>
      </w:pPr>
    </w:p>
    <w:p>
      <w:pPr>
        <w:ind w:left="1020" w:hanging="506"/>
        <w:spacing w:after="0"/>
        <w:tabs>
          <w:tab w:leader="none" w:pos="10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Borrower shall perform its obligations under the Hedging Contracts.</w:t>
      </w:r>
    </w:p>
    <w:p>
      <w:pPr>
        <w:spacing w:after="0" w:line="225" w:lineRule="exact"/>
        <w:rPr>
          <w:rFonts w:ascii="Arial" w:cs="Arial" w:eastAsia="Arial" w:hAnsi="Arial"/>
          <w:sz w:val="18"/>
          <w:szCs w:val="18"/>
          <w:color w:val="auto"/>
        </w:rPr>
      </w:pPr>
    </w:p>
    <w:p>
      <w:pPr>
        <w:ind w:left="1020" w:right="200" w:hanging="506"/>
        <w:spacing w:after="0" w:line="263" w:lineRule="auto"/>
        <w:tabs>
          <w:tab w:leader="none" w:pos="102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Borrower shall provide the Agent with any information it may request concerning any Hedging Contract, including all reasonable information, accounts and records that may be necessary or of assistance to enable the Agent to verify the amounts of all payments and any other amounts payable under the Hedging Contracts.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Events of Default</w:t>
      </w:r>
    </w:p>
    <w:p>
      <w:pPr>
        <w:sectPr>
          <w:pgSz w:w="11900" w:h="16838" w:orient="portrait"/>
          <w:cols w:equalWidth="0" w:num="1">
            <w:col w:w="11240"/>
          </w:cols>
          <w:pgMar w:left="320" w:top="341" w:right="339" w:bottom="0" w:gutter="0" w:footer="0" w:header="0"/>
        </w:sectPr>
      </w:pPr>
    </w:p>
    <w:bookmarkStart w:id="345" w:name="page346"/>
    <w:bookmarkEnd w:id="345"/>
    <w:p>
      <w:pPr>
        <w:ind w:left="520"/>
        <w:spacing w:after="0"/>
        <w:rPr>
          <w:sz w:val="20"/>
          <w:szCs w:val="20"/>
          <w:color w:val="auto"/>
        </w:rPr>
      </w:pPr>
      <w:r>
        <w:rPr>
          <w:rFonts w:ascii="Arial" w:cs="Arial" w:eastAsia="Arial" w:hAnsi="Arial"/>
          <w:sz w:val="18"/>
          <w:szCs w:val="18"/>
          <w:color w:val="auto"/>
        </w:rPr>
        <w:t>Each of the events or circumstances set out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to 29.21 (</w:t>
      </w:r>
      <w:r>
        <w:rPr>
          <w:rFonts w:ascii="Arial" w:cs="Arial" w:eastAsia="Arial" w:hAnsi="Arial"/>
          <w:sz w:val="18"/>
          <w:szCs w:val="18"/>
          <w:i w:val="1"/>
          <w:iCs w:val="1"/>
          <w:color w:val="auto"/>
        </w:rPr>
        <w:t>Hedging Contracts</w:t>
      </w:r>
      <w:r>
        <w:rPr>
          <w:rFonts w:ascii="Arial" w:cs="Arial" w:eastAsia="Arial" w:hAnsi="Arial"/>
          <w:sz w:val="18"/>
          <w:szCs w:val="18"/>
          <w:color w:val="auto"/>
        </w:rPr>
        <w:t>) is an Event of Default.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Non-payment</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w:t>
      </w:r>
    </w:p>
    <w:p>
      <w:pPr>
        <w:spacing w:after="0" w:line="170" w:lineRule="exact"/>
        <w:rPr>
          <w:sz w:val="20"/>
          <w:szCs w:val="20"/>
          <w:color w:val="auto"/>
        </w:rPr>
      </w:pPr>
    </w:p>
    <w:p>
      <w:pPr>
        <w:ind w:left="1040" w:hanging="526"/>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 Payment Disruption Event has occurred; and</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such payment is made within three (3) Business Days of the due date.</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Financial covenants; liquidity</w:t>
      </w:r>
    </w:p>
    <w:p>
      <w:pPr>
        <w:spacing w:after="0" w:line="229" w:lineRule="exact"/>
        <w:rPr>
          <w:sz w:val="20"/>
          <w:szCs w:val="20"/>
          <w:color w:val="auto"/>
        </w:rPr>
      </w:pPr>
    </w:p>
    <w:p>
      <w:pPr>
        <w:ind w:left="1040" w:hanging="526"/>
        <w:spacing w:after="0"/>
        <w:tabs>
          <w:tab w:leader="none" w:pos="10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Obligors do not comply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or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Obligors do not comply with clause 21.15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5"/>
          <w:szCs w:val="15"/>
          <w:b w:val="1"/>
          <w:bCs w:val="1"/>
          <w:color w:val="auto"/>
        </w:rPr>
        <w:t>Value of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does not comply with clause 25.12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left="5540" w:right="1920" w:hanging="5026"/>
        <w:spacing w:after="0" w:line="527" w:lineRule="auto"/>
        <w:tabs>
          <w:tab w:leader="none" w:pos="104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Insurances of the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60"/>
          </w:cols>
          <w:pgMar w:left="320" w:top="341" w:right="819" w:bottom="1440" w:gutter="0" w:footer="0" w:header="0"/>
        </w:sectPr>
      </w:pPr>
    </w:p>
    <w:bookmarkStart w:id="346" w:name="page347"/>
    <w:bookmarkEnd w:id="346"/>
    <w:p>
      <w:pPr>
        <w:ind w:left="1040" w:hanging="526"/>
        <w:spacing w:after="0"/>
        <w:tabs>
          <w:tab w:leader="none" w:pos="10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25" w:lineRule="exact"/>
        <w:rPr>
          <w:rFonts w:ascii="Arial" w:cs="Arial" w:eastAsia="Arial" w:hAnsi="Arial"/>
          <w:sz w:val="18"/>
          <w:szCs w:val="18"/>
          <w:color w:val="auto"/>
        </w:rPr>
      </w:pPr>
    </w:p>
    <w:p>
      <w:pPr>
        <w:ind w:left="1560" w:right="460" w:hanging="515"/>
        <w:spacing w:after="0" w:line="277" w:lineRule="auto"/>
        <w:tabs>
          <w:tab w:leader="none" w:pos="1575" w:val="left"/>
        </w:tabs>
        <w:numPr>
          <w:ilvl w:val="1"/>
          <w:numId w:val="435"/>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 to the full satisfaction of all the Lenders; or</w:t>
      </w:r>
    </w:p>
    <w:p>
      <w:pPr>
        <w:spacing w:after="0" w:line="170" w:lineRule="exact"/>
        <w:rPr>
          <w:rFonts w:ascii="Arial" w:cs="Arial" w:eastAsia="Arial" w:hAnsi="Arial"/>
          <w:sz w:val="18"/>
          <w:szCs w:val="18"/>
          <w:color w:val="auto"/>
        </w:rPr>
      </w:pPr>
    </w:p>
    <w:p>
      <w:pPr>
        <w:ind w:left="1580" w:hanging="535"/>
        <w:spacing w:after="0"/>
        <w:tabs>
          <w:tab w:leader="none" w:pos="15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Other obligations</w:t>
      </w:r>
    </w:p>
    <w:p>
      <w:pPr>
        <w:spacing w:after="0" w:line="229" w:lineRule="exact"/>
        <w:rPr>
          <w:sz w:val="20"/>
          <w:szCs w:val="20"/>
          <w:color w:val="auto"/>
        </w:rPr>
      </w:pPr>
    </w:p>
    <w:p>
      <w:pPr>
        <w:ind w:left="1020" w:hanging="506"/>
        <w:spacing w:after="0"/>
        <w:tabs>
          <w:tab w:leader="none" w:pos="10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w:t>
      </w:r>
    </w:p>
    <w:p>
      <w:pPr>
        <w:spacing w:after="0" w:line="225" w:lineRule="exact"/>
        <w:rPr>
          <w:rFonts w:ascii="Arial" w:cs="Arial" w:eastAsia="Arial" w:hAnsi="Arial"/>
          <w:sz w:val="18"/>
          <w:szCs w:val="18"/>
          <w:color w:val="auto"/>
        </w:rPr>
      </w:pPr>
    </w:p>
    <w:p>
      <w:pPr>
        <w:ind w:left="1560" w:right="120" w:hanging="515"/>
        <w:spacing w:after="0" w:line="277" w:lineRule="auto"/>
        <w:tabs>
          <w:tab w:leader="none" w:pos="1575"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those referred to in clauses 29.1 (</w:t>
      </w:r>
      <w:r>
        <w:rPr>
          <w:rFonts w:ascii="Arial" w:cs="Arial" w:eastAsia="Arial" w:hAnsi="Arial"/>
          <w:sz w:val="18"/>
          <w:szCs w:val="18"/>
          <w:i w:val="1"/>
          <w:iCs w:val="1"/>
          <w:color w:val="auto"/>
        </w:rPr>
        <w:t>Non-payment</w:t>
      </w:r>
      <w:r>
        <w:rPr>
          <w:rFonts w:ascii="Arial" w:cs="Arial" w:eastAsia="Arial" w:hAnsi="Arial"/>
          <w:sz w:val="18"/>
          <w:szCs w:val="18"/>
          <w:color w:val="auto"/>
        </w:rPr>
        <w:t>), 29.2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29.3 (</w:t>
      </w:r>
      <w:r>
        <w:rPr>
          <w:rFonts w:ascii="Arial" w:cs="Arial" w:eastAsia="Arial" w:hAnsi="Arial"/>
          <w:sz w:val="18"/>
          <w:szCs w:val="18"/>
          <w:i w:val="1"/>
          <w:iCs w:val="1"/>
          <w:color w:val="auto"/>
        </w:rPr>
        <w:t>Value of security</w:t>
      </w:r>
      <w:r>
        <w:rPr>
          <w:rFonts w:ascii="Arial" w:cs="Arial" w:eastAsia="Arial" w:hAnsi="Arial"/>
          <w:sz w:val="18"/>
          <w:szCs w:val="18"/>
          <w:color w:val="auto"/>
        </w:rPr>
        <w:t>) and 29.4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29; and</w:t>
      </w:r>
    </w:p>
    <w:p>
      <w:pPr>
        <w:spacing w:after="0" w:line="170" w:lineRule="exact"/>
        <w:rPr>
          <w:rFonts w:ascii="Arial" w:cs="Arial" w:eastAsia="Arial" w:hAnsi="Arial"/>
          <w:sz w:val="18"/>
          <w:szCs w:val="18"/>
          <w:color w:val="auto"/>
        </w:rPr>
      </w:pPr>
    </w:p>
    <w:p>
      <w:pPr>
        <w:ind w:left="1580" w:hanging="535"/>
        <w:spacing w:after="0"/>
        <w:tabs>
          <w:tab w:leader="none" w:pos="1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those of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20" w:right="20" w:hanging="506"/>
        <w:spacing w:after="0" w:line="263" w:lineRule="auto"/>
        <w:tabs>
          <w:tab w:leader="none" w:pos="1021"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 Event of Default under clause 29.5(a) above will occur if the Agent (acting on the instructions of the Majority Lenders) considers that the failure to comply is capable of remedy and the failure is remedied within twenty (20) days of the earlier of (A) the Agent giving notice to the Borrower and (B) the Borrower becoming aware of the failure to comply.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Misrepresentation</w:t>
      </w:r>
    </w:p>
    <w:p>
      <w:pPr>
        <w:spacing w:after="0" w:line="229" w:lineRule="exact"/>
        <w:rPr>
          <w:sz w:val="20"/>
          <w:szCs w:val="20"/>
          <w:color w:val="auto"/>
        </w:rPr>
      </w:pPr>
    </w:p>
    <w:p>
      <w:pPr>
        <w:ind w:left="520" w:right="160"/>
        <w:spacing w:after="0" w:line="257" w:lineRule="auto"/>
        <w:rPr>
          <w:sz w:val="20"/>
          <w:szCs w:val="20"/>
          <w:color w:val="auto"/>
        </w:rPr>
      </w:pPr>
      <w:r>
        <w:rPr>
          <w:rFonts w:ascii="Arial" w:cs="Arial" w:eastAsia="Arial" w:hAnsi="Arial"/>
          <w:sz w:val="18"/>
          <w:szCs w:val="18"/>
          <w:color w:val="auto"/>
        </w:rPr>
        <w:t>Any representation or statement made or deemed to be made by an Obligor or a Manager in the Finance Documents or any other document delivered by or on behalf of any Obligor or any Manager under or in connection with any Finance Document (excluding any representations or statements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or proves to have been incorrect or misleading when made or deemed to be made, unless the same is capable of remedy and is remedied within twenty (20) days of the earlier of (a) the Agent giving notice to the Borrower and (b) the Borrower becoming aware of the same.</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5"/>
          <w:szCs w:val="15"/>
          <w:b w:val="1"/>
          <w:bCs w:val="1"/>
          <w:color w:val="auto"/>
        </w:rPr>
        <w:t>Cross default</w:t>
      </w:r>
    </w:p>
    <w:p>
      <w:pPr>
        <w:spacing w:after="0" w:line="229" w:lineRule="exact"/>
        <w:rPr>
          <w:sz w:val="20"/>
          <w:szCs w:val="20"/>
          <w:color w:val="auto"/>
        </w:rPr>
      </w:pPr>
    </w:p>
    <w:p>
      <w:pPr>
        <w:ind w:left="1020" w:hanging="506"/>
        <w:spacing w:after="0"/>
        <w:tabs>
          <w:tab w:leader="none" w:pos="10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Financial Indebtedness of any Obligor is not paid when due nor within any originally applicable grace period.</w:t>
      </w:r>
    </w:p>
    <w:p>
      <w:pPr>
        <w:spacing w:after="0" w:line="225" w:lineRule="exact"/>
        <w:rPr>
          <w:rFonts w:ascii="Arial" w:cs="Arial" w:eastAsia="Arial" w:hAnsi="Arial"/>
          <w:sz w:val="18"/>
          <w:szCs w:val="18"/>
          <w:color w:val="auto"/>
        </w:rPr>
      </w:pPr>
    </w:p>
    <w:p>
      <w:pPr>
        <w:ind w:left="1020" w:right="120" w:hanging="506"/>
        <w:spacing w:after="0" w:line="277" w:lineRule="auto"/>
        <w:tabs>
          <w:tab w:leader="none" w:pos="102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Financial Indebtedness of any Obligor is declared to be or otherwise becomes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020" w:hanging="506"/>
        <w:spacing w:after="0" w:line="277" w:lineRule="auto"/>
        <w:tabs>
          <w:tab w:leader="none" w:pos="102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is cancelled or suspended by a creditor of that Obligor as a result of an event of default (however described).</w:t>
      </w:r>
    </w:p>
    <w:p>
      <w:pPr>
        <w:spacing w:after="0" w:line="170" w:lineRule="exact"/>
        <w:rPr>
          <w:rFonts w:ascii="Arial" w:cs="Arial" w:eastAsia="Arial" w:hAnsi="Arial"/>
          <w:sz w:val="18"/>
          <w:szCs w:val="18"/>
          <w:color w:val="auto"/>
        </w:rPr>
      </w:pPr>
    </w:p>
    <w:p>
      <w:pPr>
        <w:ind w:left="1020" w:right="360" w:hanging="506"/>
        <w:spacing w:after="0" w:line="277" w:lineRule="auto"/>
        <w:tabs>
          <w:tab w:leader="none" w:pos="102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becomes entitled to terminate that Treasury Transaction early by reason of an event of default (however described).</w:t>
      </w:r>
    </w:p>
    <w:p>
      <w:pPr>
        <w:spacing w:after="0" w:line="170" w:lineRule="exact"/>
        <w:rPr>
          <w:rFonts w:ascii="Arial" w:cs="Arial" w:eastAsia="Arial" w:hAnsi="Arial"/>
          <w:sz w:val="18"/>
          <w:szCs w:val="18"/>
          <w:color w:val="auto"/>
        </w:rPr>
      </w:pPr>
    </w:p>
    <w:p>
      <w:pPr>
        <w:ind w:left="1020" w:right="320" w:hanging="506"/>
        <w:spacing w:after="0" w:line="277" w:lineRule="auto"/>
        <w:tabs>
          <w:tab w:leader="none" w:pos="102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020" w:right="580" w:hanging="506"/>
        <w:spacing w:after="0" w:line="277" w:lineRule="auto"/>
        <w:tabs>
          <w:tab w:leader="none" w:pos="101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29.7 if the aggregate amount of Financial Indebtedness or commitment for Financial Indebtedness falling within clauses 29.7(a) to 29.7(e) above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7" w:name="page348"/>
    <w:bookmarkEnd w:id="347"/>
    <w:p>
      <w:pPr>
        <w:ind w:left="1560" w:hanging="515"/>
        <w:spacing w:after="0"/>
        <w:tabs>
          <w:tab w:leader="none" w:pos="15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5"/>
          <w:szCs w:val="15"/>
          <w:b w:val="1"/>
          <w:bCs w:val="1"/>
          <w:color w:val="auto"/>
        </w:rPr>
        <w:t>Insolvency</w:t>
      </w:r>
    </w:p>
    <w:p>
      <w:pPr>
        <w:spacing w:after="0" w:line="229" w:lineRule="exact"/>
        <w:rPr>
          <w:sz w:val="20"/>
          <w:szCs w:val="20"/>
          <w:color w:val="auto"/>
        </w:rPr>
      </w:pPr>
    </w:p>
    <w:p>
      <w:pPr>
        <w:ind w:left="1020" w:hanging="506"/>
        <w:spacing w:after="0" w:line="342" w:lineRule="auto"/>
        <w:tabs>
          <w:tab w:leader="none" w:pos="1011" w:val="left"/>
        </w:tabs>
        <w:numPr>
          <w:ilvl w:val="0"/>
          <w:numId w:val="439"/>
        </w:numPr>
        <w:rPr>
          <w:rFonts w:ascii="Arial" w:cs="Arial" w:eastAsia="Arial" w:hAnsi="Arial"/>
          <w:sz w:val="16"/>
          <w:szCs w:val="16"/>
          <w:color w:val="auto"/>
        </w:rPr>
      </w:pPr>
      <w:r>
        <w:rPr>
          <w:rFonts w:ascii="Arial" w:cs="Arial" w:eastAsia="Arial" w:hAnsi="Arial"/>
          <w:sz w:val="16"/>
          <w:szCs w:val="16"/>
          <w:color w:val="auto"/>
        </w:rPr>
        <w:t>An Obligor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123" w:lineRule="exact"/>
        <w:rPr>
          <w:rFonts w:ascii="Arial" w:cs="Arial" w:eastAsia="Arial" w:hAnsi="Arial"/>
          <w:sz w:val="16"/>
          <w:szCs w:val="16"/>
          <w:color w:val="auto"/>
        </w:rPr>
      </w:pPr>
    </w:p>
    <w:p>
      <w:pPr>
        <w:ind w:left="1020" w:hanging="506"/>
        <w:spacing w:after="0"/>
        <w:tabs>
          <w:tab w:leader="none" w:pos="10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value of the assets of any Obligor is less than its liabilities (taking into account contingent and prospective liabilities).</w:t>
      </w:r>
    </w:p>
    <w:p>
      <w:pPr>
        <w:spacing w:after="0" w:line="225" w:lineRule="exact"/>
        <w:rPr>
          <w:rFonts w:ascii="Arial" w:cs="Arial" w:eastAsia="Arial" w:hAnsi="Arial"/>
          <w:sz w:val="18"/>
          <w:szCs w:val="18"/>
          <w:color w:val="auto"/>
        </w:rPr>
      </w:pPr>
    </w:p>
    <w:p>
      <w:pPr>
        <w:ind w:left="1020" w:right="460" w:hanging="506"/>
        <w:spacing w:after="0" w:line="277" w:lineRule="auto"/>
        <w:tabs>
          <w:tab w:leader="none" w:pos="102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5"/>
          <w:szCs w:val="15"/>
          <w:b w:val="1"/>
          <w:bCs w:val="1"/>
          <w:color w:val="auto"/>
        </w:rPr>
        <w:t>Insolvency proceedings</w:t>
      </w:r>
    </w:p>
    <w:p>
      <w:pPr>
        <w:spacing w:after="0" w:line="229" w:lineRule="exact"/>
        <w:rPr>
          <w:sz w:val="20"/>
          <w:szCs w:val="20"/>
          <w:color w:val="auto"/>
        </w:rPr>
      </w:pPr>
    </w:p>
    <w:p>
      <w:pPr>
        <w:ind w:left="1020" w:hanging="506"/>
        <w:spacing w:after="0"/>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25" w:lineRule="exact"/>
        <w:rPr>
          <w:rFonts w:ascii="Arial" w:cs="Arial" w:eastAsia="Arial" w:hAnsi="Arial"/>
          <w:sz w:val="18"/>
          <w:szCs w:val="18"/>
          <w:color w:val="auto"/>
        </w:rPr>
      </w:pPr>
    </w:p>
    <w:p>
      <w:pPr>
        <w:ind w:left="1560" w:right="120" w:hanging="515"/>
        <w:spacing w:after="0" w:line="277" w:lineRule="auto"/>
        <w:tabs>
          <w:tab w:leader="none" w:pos="157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70" w:lineRule="exact"/>
        <w:rPr>
          <w:rFonts w:ascii="Arial" w:cs="Arial" w:eastAsia="Arial" w:hAnsi="Arial"/>
          <w:sz w:val="18"/>
          <w:szCs w:val="18"/>
          <w:color w:val="auto"/>
        </w:rPr>
      </w:pPr>
    </w:p>
    <w:p>
      <w:pPr>
        <w:ind w:left="1580" w:hanging="535"/>
        <w:spacing w:after="0"/>
        <w:tabs>
          <w:tab w:leader="none" w:pos="15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225" w:lineRule="exact"/>
        <w:rPr>
          <w:rFonts w:ascii="Arial" w:cs="Arial" w:eastAsia="Arial" w:hAnsi="Arial"/>
          <w:sz w:val="18"/>
          <w:szCs w:val="18"/>
          <w:color w:val="auto"/>
        </w:rPr>
      </w:pPr>
    </w:p>
    <w:p>
      <w:pPr>
        <w:ind w:left="1560" w:right="260" w:hanging="515"/>
        <w:spacing w:after="0" w:line="263" w:lineRule="auto"/>
        <w:tabs>
          <w:tab w:leader="none" w:pos="1594"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any Obligor requesting a person to appoint any such officer in relation to it or any of its assets); or</w:t>
      </w:r>
    </w:p>
    <w:p>
      <w:pPr>
        <w:spacing w:after="0" w:line="183" w:lineRule="exact"/>
        <w:rPr>
          <w:rFonts w:ascii="Arial" w:cs="Arial" w:eastAsia="Arial" w:hAnsi="Arial"/>
          <w:sz w:val="18"/>
          <w:szCs w:val="18"/>
          <w:color w:val="auto"/>
        </w:rPr>
      </w:pPr>
    </w:p>
    <w:p>
      <w:pPr>
        <w:ind w:left="1560" w:hanging="515"/>
        <w:spacing w:after="0"/>
        <w:tabs>
          <w:tab w:leader="none" w:pos="15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25" w:lineRule="exact"/>
        <w:rPr>
          <w:sz w:val="20"/>
          <w:szCs w:val="20"/>
          <w:color w:val="auto"/>
        </w:rPr>
      </w:pPr>
    </w:p>
    <w:p>
      <w:pPr>
        <w:ind w:left="1020" w:right="100" w:hanging="506"/>
        <w:spacing w:after="0" w:line="277" w:lineRule="auto"/>
        <w:tabs>
          <w:tab w:leader="none" w:pos="1021"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Clause 29.9(a) shall not apply to any winding-up petition (or analogous procedure or step) which is frivolous or vexatious and is discharged, stayed or dismissed within fifteen (15) days of commencement or, if earlier, the date on which it is advertised.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Creditors’ process</w:t>
      </w:r>
    </w:p>
    <w:p>
      <w:pPr>
        <w:spacing w:after="0" w:line="229" w:lineRule="exact"/>
        <w:rPr>
          <w:sz w:val="20"/>
          <w:szCs w:val="20"/>
          <w:color w:val="auto"/>
        </w:rPr>
      </w:pPr>
    </w:p>
    <w:p>
      <w:pPr>
        <w:ind w:left="1020" w:right="260" w:hanging="506"/>
        <w:spacing w:after="0" w:line="311" w:lineRule="auto"/>
        <w:tabs>
          <w:tab w:leader="none" w:pos="1011" w:val="left"/>
        </w:tabs>
        <w:numPr>
          <w:ilvl w:val="0"/>
          <w:numId w:val="442"/>
        </w:numPr>
        <w:rPr>
          <w:rFonts w:ascii="Arial" w:cs="Arial" w:eastAsia="Arial" w:hAnsi="Arial"/>
          <w:sz w:val="16"/>
          <w:szCs w:val="16"/>
          <w:color w:val="auto"/>
        </w:rPr>
      </w:pPr>
      <w:r>
        <w:rPr>
          <w:rFonts w:ascii="Arial" w:cs="Arial" w:eastAsia="Arial" w:hAnsi="Arial"/>
          <w:sz w:val="16"/>
          <w:szCs w:val="16"/>
          <w:color w:val="auto"/>
        </w:rPr>
        <w:t>Any expropriation, attachment, sequestration, distress, execution or analogous process affects any asset or assets of any Obligor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48" w:lineRule="exact"/>
        <w:rPr>
          <w:rFonts w:ascii="Arial" w:cs="Arial" w:eastAsia="Arial" w:hAnsi="Arial"/>
          <w:sz w:val="16"/>
          <w:szCs w:val="16"/>
          <w:color w:val="auto"/>
        </w:rPr>
      </w:pPr>
    </w:p>
    <w:p>
      <w:pPr>
        <w:jc w:val="both"/>
        <w:ind w:left="1020" w:right="120" w:hanging="506"/>
        <w:spacing w:after="0" w:line="263" w:lineRule="auto"/>
        <w:tabs>
          <w:tab w:leader="none" w:pos="102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and is not stayed or complied with within thirty (30) days.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color w:val="auto"/>
        </w:rPr>
        <w:t>29.11 Unlawfulness and invalidity</w:t>
      </w:r>
    </w:p>
    <w:p>
      <w:pPr>
        <w:spacing w:after="0" w:line="229" w:lineRule="exact"/>
        <w:rPr>
          <w:sz w:val="20"/>
          <w:szCs w:val="20"/>
          <w:color w:val="auto"/>
        </w:rPr>
      </w:pPr>
    </w:p>
    <w:p>
      <w:pPr>
        <w:ind w:left="1020" w:right="220" w:hanging="506"/>
        <w:spacing w:after="0" w:line="277" w:lineRule="auto"/>
        <w:tabs>
          <w:tab w:leader="none" w:pos="101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70" w:lineRule="exact"/>
        <w:rPr>
          <w:rFonts w:ascii="Arial" w:cs="Arial" w:eastAsia="Arial" w:hAnsi="Arial"/>
          <w:sz w:val="18"/>
          <w:szCs w:val="18"/>
          <w:color w:val="auto"/>
        </w:rPr>
      </w:pPr>
    </w:p>
    <w:p>
      <w:pPr>
        <w:jc w:val="both"/>
        <w:ind w:left="1020" w:right="140" w:hanging="506"/>
        <w:spacing w:after="0" w:line="263" w:lineRule="auto"/>
        <w:tabs>
          <w:tab w:leader="none" w:pos="102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adversely affects the interests of the Lenders under the Finance Documents.</w:t>
      </w:r>
    </w:p>
    <w:p>
      <w:pPr>
        <w:spacing w:after="0" w:line="183" w:lineRule="exact"/>
        <w:rPr>
          <w:rFonts w:ascii="Arial" w:cs="Arial" w:eastAsia="Arial" w:hAnsi="Arial"/>
          <w:sz w:val="18"/>
          <w:szCs w:val="18"/>
          <w:color w:val="auto"/>
        </w:rPr>
      </w:pPr>
    </w:p>
    <w:p>
      <w:pPr>
        <w:ind w:left="1020" w:right="180" w:hanging="506"/>
        <w:spacing w:after="0" w:line="277" w:lineRule="auto"/>
        <w:tabs>
          <w:tab w:leader="none" w:pos="102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70" w:lineRule="exact"/>
        <w:rPr>
          <w:rFonts w:ascii="Arial" w:cs="Arial" w:eastAsia="Arial" w:hAnsi="Arial"/>
          <w:sz w:val="18"/>
          <w:szCs w:val="18"/>
          <w:color w:val="auto"/>
        </w:rPr>
      </w:pPr>
    </w:p>
    <w:p>
      <w:pPr>
        <w:ind w:left="1020" w:right="80" w:hanging="506"/>
        <w:spacing w:after="0" w:line="277" w:lineRule="auto"/>
        <w:tabs>
          <w:tab w:leader="none" w:pos="1021"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29.12 Cessation of business</w:t>
      </w:r>
    </w:p>
    <w:p>
      <w:pPr>
        <w:spacing w:after="0" w:line="229" w:lineRule="exact"/>
        <w:rPr>
          <w:sz w:val="20"/>
          <w:szCs w:val="20"/>
          <w:color w:val="auto"/>
        </w:rPr>
      </w:pPr>
    </w:p>
    <w:p>
      <w:pPr>
        <w:ind w:left="520" w:right="120"/>
        <w:spacing w:after="0" w:line="308" w:lineRule="auto"/>
        <w:rPr>
          <w:sz w:val="20"/>
          <w:szCs w:val="20"/>
          <w:color w:val="auto"/>
        </w:rPr>
      </w:pPr>
      <w:r>
        <w:rPr>
          <w:rFonts w:ascii="Arial" w:cs="Arial" w:eastAsia="Arial" w:hAnsi="Arial"/>
          <w:sz w:val="17"/>
          <w:szCs w:val="17"/>
          <w:color w:val="auto"/>
        </w:rPr>
        <w:t>Any Obligor suspends or ceases to carry on (or threatens to suspend or cease to carry on) all or a material part of its business (except in the case of the Borrower as a result of the sale of the Ship in accordance with, and subject to, the provisions of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29.13 Expropriation</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29.14 Repudiation and rescission of Finance Documents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29.15 Litigation</w:t>
      </w:r>
    </w:p>
    <w:p>
      <w:pPr>
        <w:spacing w:after="0" w:line="229"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29.16 Material Adverse Effect</w:t>
      </w:r>
    </w:p>
    <w:p>
      <w:pPr>
        <w:spacing w:after="0" w:line="22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29.17 Security enforceable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29.18 Arrest of Ship</w:t>
      </w:r>
    </w:p>
    <w:p>
      <w:pPr>
        <w:spacing w:after="0" w:line="229"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The Ship is arrested, confiscated, seized, taken in execution, impounded, forfeited, detained in exercise or purported exercise of any possessory lien or other claim and the Borrower fails to procure the release of the Ship within a period of 30 days thereafter (or such longer period as may be approved).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auto"/>
        </w:rPr>
        <w:t>29.19 Ship registration</w:t>
      </w:r>
    </w:p>
    <w:p>
      <w:pPr>
        <w:spacing w:after="0" w:line="229" w:lineRule="exact"/>
        <w:rPr>
          <w:sz w:val="20"/>
          <w:szCs w:val="20"/>
          <w:color w:val="auto"/>
        </w:rPr>
      </w:pPr>
    </w:p>
    <w:p>
      <w:pPr>
        <w:jc w:val="both"/>
        <w:ind w:left="520" w:right="360"/>
        <w:spacing w:after="0" w:line="263" w:lineRule="auto"/>
        <w:rPr>
          <w:sz w:val="20"/>
          <w:szCs w:val="20"/>
          <w:color w:val="auto"/>
        </w:rPr>
      </w:pPr>
      <w:r>
        <w:rPr>
          <w:rFonts w:ascii="Arial" w:cs="Arial" w:eastAsia="Arial" w:hAnsi="Arial"/>
          <w:sz w:val="18"/>
          <w:szCs w:val="18"/>
          <w:color w:val="auto"/>
        </w:rPr>
        <w:t>Except with approval of the Majority Lenders, the registration of the Ship under the laws and flag of its Flag State is cancelled or terminated or, where applicable, not renewed or, if the Ship is only provisionally registered on the date of its Mortgage, the Ship is not permanently registered under such laws within 90 days of such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29.20 Political risk</w:t>
      </w:r>
    </w:p>
    <w:p>
      <w:pPr>
        <w:spacing w:after="0" w:line="229" w:lineRule="exact"/>
        <w:rPr>
          <w:sz w:val="20"/>
          <w:szCs w:val="20"/>
          <w:color w:val="auto"/>
        </w:rPr>
      </w:pPr>
    </w:p>
    <w:p>
      <w:pPr>
        <w:ind w:left="520"/>
        <w:spacing w:after="0" w:line="301" w:lineRule="auto"/>
        <w:rPr>
          <w:sz w:val="20"/>
          <w:szCs w:val="20"/>
          <w:color w:val="auto"/>
        </w:rPr>
      </w:pPr>
      <w:r>
        <w:rPr>
          <w:rFonts w:ascii="Arial" w:cs="Arial" w:eastAsia="Arial" w:hAnsi="Arial"/>
          <w:sz w:val="16"/>
          <w:szCs w:val="16"/>
          <w:color w:val="auto"/>
        </w:rPr>
        <w:t>The Flag State of the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29.21 Hedging Contracts</w:t>
      </w:r>
    </w:p>
    <w:p>
      <w:pPr>
        <w:spacing w:after="0" w:line="229" w:lineRule="exact"/>
        <w:rPr>
          <w:sz w:val="20"/>
          <w:szCs w:val="20"/>
          <w:color w:val="auto"/>
        </w:rPr>
      </w:pPr>
    </w:p>
    <w:p>
      <w:pPr>
        <w:ind w:left="1020" w:right="200" w:hanging="506"/>
        <w:spacing w:after="0" w:line="277" w:lineRule="auto"/>
        <w:tabs>
          <w:tab w:leader="none" w:pos="1011"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 Event of Default or Potential Event of Default (in each case as defined any Hedging Master Agreement) has occurred and is continuing under any Hedging Contract.</w:t>
      </w:r>
    </w:p>
    <w:p>
      <w:pPr>
        <w:spacing w:after="0" w:line="170" w:lineRule="exact"/>
        <w:rPr>
          <w:rFonts w:ascii="Arial" w:cs="Arial" w:eastAsia="Arial" w:hAnsi="Arial"/>
          <w:sz w:val="18"/>
          <w:szCs w:val="18"/>
          <w:color w:val="auto"/>
        </w:rPr>
      </w:pPr>
    </w:p>
    <w:p>
      <w:pPr>
        <w:ind w:left="1020" w:right="420" w:hanging="506"/>
        <w:spacing w:after="0" w:line="342" w:lineRule="auto"/>
        <w:tabs>
          <w:tab w:leader="none" w:pos="1021"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 Early Termination Date (as defined in any Hedging Master Agreement) has occurred or been or become capable of being effectively designated under any Hedging Contract as a result of an Event of Default or Potential Event of Default caused by the Borrower.</w:t>
      </w:r>
    </w:p>
    <w:p>
      <w:pPr>
        <w:spacing w:after="0" w:line="123" w:lineRule="exact"/>
        <w:rPr>
          <w:rFonts w:ascii="Arial" w:cs="Arial" w:eastAsia="Arial" w:hAnsi="Arial"/>
          <w:sz w:val="16"/>
          <w:szCs w:val="16"/>
          <w:color w:val="auto"/>
        </w:rPr>
      </w:pPr>
    </w:p>
    <w:p>
      <w:pPr>
        <w:ind w:left="1020" w:right="200" w:hanging="506"/>
        <w:spacing w:after="0" w:line="263" w:lineRule="auto"/>
        <w:tabs>
          <w:tab w:leader="none" w:pos="102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 person entitled to do so gives notice of such an Early Termination Date under any Hedging Contract as a result of an Event of Default or Potential Event of Default caused by the Borrower except with approval or as may be required by paragraphs (d) and (e) of clause 28.12 (</w:t>
      </w:r>
      <w:r>
        <w:rPr>
          <w:rFonts w:ascii="Arial" w:cs="Arial" w:eastAsia="Arial" w:hAnsi="Arial"/>
          <w:sz w:val="18"/>
          <w:szCs w:val="18"/>
          <w:i w:val="1"/>
          <w:iCs w:val="1"/>
          <w:color w:val="auto"/>
        </w:rPr>
        <w:t>Hedging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20" w:right="20" w:hanging="506"/>
        <w:spacing w:after="0" w:line="342" w:lineRule="auto"/>
        <w:tabs>
          <w:tab w:leader="none" w:pos="1021"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 act of the Borrower results in any Hedging Contract being terminated, cancelled, suspended, rescinded or revoked or otherwise ceasing to remain in full force and effect except with approval or as may be required by paragraphs (d) and (e) of clause 28.12 (</w:t>
      </w:r>
      <w:r>
        <w:rPr>
          <w:rFonts w:ascii="Arial" w:cs="Arial" w:eastAsia="Arial" w:hAnsi="Arial"/>
          <w:sz w:val="16"/>
          <w:szCs w:val="16"/>
          <w:i w:val="1"/>
          <w:iCs w:val="1"/>
          <w:color w:val="auto"/>
        </w:rPr>
        <w:t>Hedging</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29.22 Acceleration</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w:t>
      </w:r>
    </w:p>
    <w:p>
      <w:pPr>
        <w:spacing w:after="0" w:line="170" w:lineRule="exact"/>
        <w:rPr>
          <w:sz w:val="20"/>
          <w:szCs w:val="20"/>
          <w:color w:val="auto"/>
        </w:rPr>
      </w:pPr>
    </w:p>
    <w:p>
      <w:pPr>
        <w:ind w:left="1020" w:hanging="506"/>
        <w:spacing w:after="0"/>
        <w:tabs>
          <w:tab w:leader="none" w:pos="10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25" w:lineRule="exact"/>
        <w:rPr>
          <w:rFonts w:ascii="Arial" w:cs="Arial" w:eastAsia="Arial" w:hAnsi="Arial"/>
          <w:sz w:val="18"/>
          <w:szCs w:val="18"/>
          <w:color w:val="auto"/>
        </w:rPr>
      </w:pPr>
    </w:p>
    <w:p>
      <w:pPr>
        <w:ind w:left="1020" w:hanging="506"/>
        <w:spacing w:after="0" w:line="277" w:lineRule="auto"/>
        <w:tabs>
          <w:tab w:leader="none" w:pos="1021"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declare that all or part of the Loan, together with accrued interest, and all other amounts accrued or outstanding under the Finance Documents be immediately due and payable, at which time they shall become immediately due and payable; and/or</w:t>
      </w:r>
    </w:p>
    <w:p>
      <w:pPr>
        <w:spacing w:after="0" w:line="170" w:lineRule="exact"/>
        <w:rPr>
          <w:rFonts w:ascii="Arial" w:cs="Arial" w:eastAsia="Arial" w:hAnsi="Arial"/>
          <w:sz w:val="18"/>
          <w:szCs w:val="18"/>
          <w:color w:val="auto"/>
        </w:rPr>
      </w:pPr>
    </w:p>
    <w:p>
      <w:pPr>
        <w:ind w:left="1020" w:right="80" w:hanging="506"/>
        <w:spacing w:after="0" w:line="277" w:lineRule="auto"/>
        <w:tabs>
          <w:tab w:leader="none" w:pos="102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declare that all or part of the Loan be payable on demand, at which time they shall immediately become payable on demand by the Agent on the instructions of the Majority Lenders; and/or</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25" w:lineRule="exact"/>
        <w:rPr>
          <w:rFonts w:ascii="Arial" w:cs="Arial" w:eastAsia="Arial" w:hAnsi="Arial"/>
          <w:sz w:val="18"/>
          <w:szCs w:val="18"/>
          <w:color w:val="auto"/>
        </w:rPr>
      </w:pPr>
    </w:p>
    <w:p>
      <w:pPr>
        <w:ind w:left="1020" w:right="320" w:hanging="506"/>
        <w:spacing w:after="0" w:line="277" w:lineRule="auto"/>
        <w:tabs>
          <w:tab w:leader="none" w:pos="102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0" w:name="page351"/>
    <w:bookmarkEnd w:id="350"/>
    <w:p>
      <w:pPr>
        <w:spacing w:after="0"/>
        <w:tabs>
          <w:tab w:leader="none" w:pos="380" w:val="left"/>
        </w:tabs>
        <w:rPr>
          <w:sz w:val="20"/>
          <w:szCs w:val="20"/>
          <w:color w:val="auto"/>
        </w:rPr>
      </w:pPr>
      <w:r>
        <w:rPr>
          <w:rFonts w:ascii="Arial" w:cs="Arial" w:eastAsia="Arial" w:hAnsi="Arial"/>
          <w:sz w:val="18"/>
          <w:szCs w:val="18"/>
          <w:b w:val="1"/>
          <w:bCs w:val="1"/>
          <w:color w:val="auto"/>
        </w:rPr>
        <w:t>30</w:t>
        <w:tab/>
        <w:t>Changes to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Assignments by the Lenders</w:t>
      </w:r>
    </w:p>
    <w:p>
      <w:pPr>
        <w:spacing w:after="0" w:line="225" w:lineRule="exact"/>
        <w:rPr>
          <w:sz w:val="20"/>
          <w:szCs w:val="20"/>
          <w:color w:val="auto"/>
        </w:rPr>
      </w:pPr>
    </w:p>
    <w:p>
      <w:pPr>
        <w:jc w:val="both"/>
        <w:ind w:left="520" w:right="280"/>
        <w:spacing w:after="0" w:line="266" w:lineRule="auto"/>
        <w:rPr>
          <w:sz w:val="20"/>
          <w:szCs w:val="20"/>
          <w:color w:val="auto"/>
        </w:rPr>
      </w:pPr>
      <w:r>
        <w:rPr>
          <w:rFonts w:ascii="Arial" w:cs="Arial" w:eastAsia="Arial" w:hAnsi="Arial"/>
          <w:sz w:val="18"/>
          <w:szCs w:val="18"/>
          <w:color w:val="auto"/>
        </w:rPr>
        <w:t xml:space="preserve">Subject to this clause 30,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color w:val="auto"/>
        </w:rPr>
        <w:t>Conditions of assignment</w:t>
      </w:r>
    </w:p>
    <w:p>
      <w:pPr>
        <w:spacing w:after="0" w:line="229" w:lineRule="exact"/>
        <w:rPr>
          <w:sz w:val="20"/>
          <w:szCs w:val="20"/>
          <w:color w:val="auto"/>
        </w:rPr>
      </w:pPr>
    </w:p>
    <w:p>
      <w:pPr>
        <w:ind w:left="1020" w:right="400" w:hanging="506"/>
        <w:spacing w:after="0" w:line="308" w:lineRule="auto"/>
        <w:tabs>
          <w:tab w:leader="none" w:pos="1011"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prior written consent of the Borrower is required for an assignment by a Lender, unless (i) the assignment is to another Lender or an Affiliate of a Lender or (ii) an Event of Default is continuing. The Agent will promptly advise the Borrower of the assignment.</w:t>
      </w:r>
    </w:p>
    <w:p>
      <w:pPr>
        <w:spacing w:after="0" w:line="146" w:lineRule="exact"/>
        <w:rPr>
          <w:rFonts w:ascii="Arial" w:cs="Arial" w:eastAsia="Arial" w:hAnsi="Arial"/>
          <w:sz w:val="17"/>
          <w:szCs w:val="17"/>
          <w:color w:val="auto"/>
        </w:rPr>
      </w:pPr>
    </w:p>
    <w:p>
      <w:pPr>
        <w:ind w:left="1020" w:right="360" w:hanging="506"/>
        <w:spacing w:after="0" w:line="277" w:lineRule="auto"/>
        <w:tabs>
          <w:tab w:leader="none" w:pos="102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fifteen (15) Business Days after the Lender has requested consent unless consent is expressly refused within that time.</w:t>
      </w:r>
    </w:p>
    <w:p>
      <w:pPr>
        <w:spacing w:after="0" w:line="170" w:lineRule="exact"/>
        <w:rPr>
          <w:rFonts w:ascii="Arial" w:cs="Arial" w:eastAsia="Arial" w:hAnsi="Arial"/>
          <w:sz w:val="18"/>
          <w:szCs w:val="18"/>
          <w:color w:val="auto"/>
        </w:rPr>
      </w:pPr>
    </w:p>
    <w:p>
      <w:pPr>
        <w:ind w:left="1020" w:hanging="506"/>
        <w:spacing w:after="0" w:line="296" w:lineRule="auto"/>
        <w:tabs>
          <w:tab w:leader="none" w:pos="1024" w:val="left"/>
        </w:tabs>
        <w:numPr>
          <w:ilvl w:val="0"/>
          <w:numId w:val="446"/>
        </w:numPr>
        <w:rPr>
          <w:rFonts w:ascii="Arial" w:cs="Arial" w:eastAsia="Arial" w:hAnsi="Arial"/>
          <w:sz w:val="16"/>
          <w:szCs w:val="16"/>
          <w:color w:val="auto"/>
        </w:rPr>
      </w:pPr>
      <w:r>
        <w:rPr>
          <w:rFonts w:ascii="Arial" w:cs="Arial" w:eastAsia="Arial" w:hAnsi="Arial"/>
          <w:sz w:val="16"/>
          <w:szCs w:val="16"/>
          <w:color w:val="auto"/>
        </w:rPr>
        <w:t>Save where an Event of Default is continuing, a Lender which is proposing to assign all (but not part) of its rights under this Agreement, shall subject to the proviso hereto, use commercially reasonable efforts (if required by the Borrower) to procure the transfer of any Hedging Transactions to which it is a party to the proposed assignee of such rights, any other Lender or to a third party bank or financial institution proposed by the Borrowers, provided always that such Lender has a commercial relationship for trading derivatives transactions and/or has in place agreed derivatives documentation or electronic platform with such proposed assignee, any such other Lenders or such third party bank.</w:t>
      </w:r>
    </w:p>
    <w:p>
      <w:pPr>
        <w:spacing w:after="0" w:line="161" w:lineRule="exact"/>
        <w:rPr>
          <w:rFonts w:ascii="Arial" w:cs="Arial" w:eastAsia="Arial" w:hAnsi="Arial"/>
          <w:sz w:val="16"/>
          <w:szCs w:val="16"/>
          <w:color w:val="auto"/>
        </w:rPr>
      </w:pPr>
    </w:p>
    <w:p>
      <w:pPr>
        <w:ind w:left="1020" w:hanging="506"/>
        <w:spacing w:after="0"/>
        <w:tabs>
          <w:tab w:leader="none" w:pos="10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25" w:lineRule="exact"/>
        <w:rPr>
          <w:rFonts w:ascii="Arial" w:cs="Arial" w:eastAsia="Arial" w:hAnsi="Arial"/>
          <w:sz w:val="18"/>
          <w:szCs w:val="18"/>
          <w:color w:val="auto"/>
        </w:rPr>
      </w:pPr>
    </w:p>
    <w:p>
      <w:pPr>
        <w:ind w:left="1560" w:right="140" w:hanging="515"/>
        <w:spacing w:after="0" w:line="263" w:lineRule="auto"/>
        <w:tabs>
          <w:tab w:leader="none" w:pos="1575" w:val="left"/>
        </w:tabs>
        <w:numPr>
          <w:ilvl w:val="1"/>
          <w:numId w:val="446"/>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 and the other Finance Parties as it would have been under if it was the Existing Lender;</w:t>
      </w:r>
    </w:p>
    <w:p>
      <w:pPr>
        <w:spacing w:after="0" w:line="183" w:lineRule="exact"/>
        <w:rPr>
          <w:rFonts w:ascii="Arial" w:cs="Arial" w:eastAsia="Arial" w:hAnsi="Arial"/>
          <w:sz w:val="18"/>
          <w:szCs w:val="18"/>
          <w:color w:val="auto"/>
        </w:rPr>
      </w:pPr>
    </w:p>
    <w:p>
      <w:pPr>
        <w:ind w:left="1560" w:right="160" w:hanging="515"/>
        <w:spacing w:after="0" w:line="263" w:lineRule="auto"/>
        <w:tabs>
          <w:tab w:leader="none" w:pos="1585" w:val="left"/>
        </w:tabs>
        <w:numPr>
          <w:ilvl w:val="1"/>
          <w:numId w:val="446"/>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83" w:lineRule="exact"/>
        <w:rPr>
          <w:rFonts w:ascii="Arial" w:cs="Arial" w:eastAsia="Arial" w:hAnsi="Arial"/>
          <w:sz w:val="18"/>
          <w:szCs w:val="18"/>
          <w:color w:val="auto"/>
        </w:rPr>
      </w:pPr>
    </w:p>
    <w:p>
      <w:pPr>
        <w:ind w:left="1560" w:right="340" w:hanging="515"/>
        <w:spacing w:after="0" w:line="263" w:lineRule="auto"/>
        <w:tabs>
          <w:tab w:leader="none" w:pos="159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w:t>
      </w:r>
    </w:p>
    <w:p>
      <w:pPr>
        <w:spacing w:after="0" w:line="183" w:lineRule="exact"/>
        <w:rPr>
          <w:rFonts w:ascii="Arial" w:cs="Arial" w:eastAsia="Arial" w:hAnsi="Arial"/>
          <w:sz w:val="18"/>
          <w:szCs w:val="18"/>
          <w:color w:val="auto"/>
        </w:rPr>
      </w:pPr>
    </w:p>
    <w:p>
      <w:pPr>
        <w:ind w:left="1560" w:hanging="515"/>
        <w:spacing w:after="0"/>
        <w:tabs>
          <w:tab w:leader="none" w:pos="156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the Facility; and</w:t>
      </w:r>
    </w:p>
    <w:p>
      <w:pPr>
        <w:spacing w:after="0" w:line="225" w:lineRule="exact"/>
        <w:rPr>
          <w:rFonts w:ascii="Arial" w:cs="Arial" w:eastAsia="Arial" w:hAnsi="Arial"/>
          <w:sz w:val="18"/>
          <w:szCs w:val="18"/>
          <w:color w:val="auto"/>
        </w:rPr>
      </w:pPr>
    </w:p>
    <w:p>
      <w:pPr>
        <w:ind w:left="1560" w:right="140" w:hanging="515"/>
        <w:spacing w:after="0" w:line="277" w:lineRule="auto"/>
        <w:tabs>
          <w:tab w:leader="none" w:pos="1561"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if the total amount of participations and Commitments of the Existing Lender being assigned is not less than $10,000,000 (or, if less, its entire participation and Commitment).</w:t>
      </w:r>
    </w:p>
    <w:p>
      <w:pPr>
        <w:spacing w:after="0" w:line="170" w:lineRule="exact"/>
        <w:rPr>
          <w:rFonts w:ascii="Arial" w:cs="Arial" w:eastAsia="Arial" w:hAnsi="Arial"/>
          <w:sz w:val="18"/>
          <w:szCs w:val="18"/>
          <w:color w:val="auto"/>
        </w:rPr>
      </w:pPr>
    </w:p>
    <w:p>
      <w:pPr>
        <w:ind w:left="1020" w:right="80" w:hanging="506"/>
        <w:spacing w:after="0" w:line="259" w:lineRule="auto"/>
        <w:tabs>
          <w:tab w:leader="none" w:pos="1024"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1" w:name="page352"/>
    <w:bookmarkEnd w:id="351"/>
    <w:p>
      <w:pPr>
        <w:ind w:left="1040"/>
        <w:spacing w:after="0"/>
        <w:rPr>
          <w:sz w:val="20"/>
          <w:szCs w:val="20"/>
          <w:color w:val="auto"/>
        </w:rPr>
      </w:pPr>
      <w:r>
        <w:rPr>
          <w:rFonts w:ascii="Arial" w:cs="Arial" w:eastAsia="Arial" w:hAnsi="Arial"/>
          <w:sz w:val="18"/>
          <w:szCs w:val="18"/>
          <w:color w:val="auto"/>
        </w:rPr>
        <w:t>decision to the same extent as the Existing Lender would have been had it remained a Lender.</w:t>
      </w:r>
    </w:p>
    <w:p>
      <w:pPr>
        <w:spacing w:after="0" w:line="225" w:lineRule="exact"/>
        <w:rPr>
          <w:sz w:val="20"/>
          <w:szCs w:val="20"/>
          <w:color w:val="auto"/>
        </w:rPr>
      </w:pPr>
    </w:p>
    <w:p>
      <w:pPr>
        <w:ind w:left="1040" w:hanging="526"/>
        <w:spacing w:after="0"/>
        <w:tabs>
          <w:tab w:leader="none" w:pos="10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60" w:right="360" w:hanging="515"/>
        <w:spacing w:after="0" w:line="277" w:lineRule="auto"/>
        <w:tabs>
          <w:tab w:leader="none" w:pos="1575"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70" w:lineRule="exact"/>
        <w:rPr>
          <w:rFonts w:ascii="Arial" w:cs="Arial" w:eastAsia="Arial" w:hAnsi="Arial"/>
          <w:sz w:val="18"/>
          <w:szCs w:val="18"/>
          <w:color w:val="auto"/>
        </w:rPr>
      </w:pPr>
    </w:p>
    <w:p>
      <w:pPr>
        <w:ind w:left="1560" w:right="320" w:hanging="515"/>
        <w:spacing w:after="0" w:line="263" w:lineRule="auto"/>
        <w:tabs>
          <w:tab w:leader="none" w:pos="1585"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84" w:lineRule="exact"/>
        <w:rPr>
          <w:sz w:val="20"/>
          <w:szCs w:val="20"/>
          <w:color w:val="auto"/>
        </w:rPr>
      </w:pPr>
    </w:p>
    <w:p>
      <w:pPr>
        <w:ind w:left="1040" w:right="20"/>
        <w:spacing w:after="0" w:line="279" w:lineRule="auto"/>
        <w:rPr>
          <w:sz w:val="20"/>
          <w:szCs w:val="20"/>
          <w:color w:val="auto"/>
        </w:rPr>
      </w:pPr>
      <w:r>
        <w:rPr>
          <w:rFonts w:ascii="Arial" w:cs="Arial" w:eastAsia="Arial" w:hAnsi="Arial"/>
          <w:sz w:val="17"/>
          <w:szCs w:val="17"/>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Fee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29" w:lineRule="exact"/>
        <w:rPr>
          <w:sz w:val="20"/>
          <w:szCs w:val="20"/>
          <w:color w:val="auto"/>
        </w:rPr>
      </w:pPr>
    </w:p>
    <w:p>
      <w:pPr>
        <w:ind w:left="1020" w:right="340" w:hanging="506"/>
        <w:spacing w:after="0" w:line="277" w:lineRule="auto"/>
        <w:tabs>
          <w:tab w:leader="none" w:pos="1011" w:val="left"/>
        </w:tabs>
        <w:numPr>
          <w:ilvl w:val="0"/>
          <w:numId w:val="448"/>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25" w:lineRule="exact"/>
        <w:rPr>
          <w:rFonts w:ascii="Arial" w:cs="Arial" w:eastAsia="Arial" w:hAnsi="Arial"/>
          <w:sz w:val="18"/>
          <w:szCs w:val="18"/>
          <w:color w:val="auto"/>
        </w:rPr>
      </w:pPr>
    </w:p>
    <w:p>
      <w:pPr>
        <w:ind w:left="1560" w:right="340" w:hanging="515"/>
        <w:spacing w:after="0" w:line="277" w:lineRule="auto"/>
        <w:tabs>
          <w:tab w:leader="none" w:pos="159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70" w:lineRule="exact"/>
        <w:rPr>
          <w:rFonts w:ascii="Arial" w:cs="Arial" w:eastAsia="Arial" w:hAnsi="Arial"/>
          <w:sz w:val="18"/>
          <w:szCs w:val="18"/>
          <w:color w:val="auto"/>
        </w:rPr>
      </w:pPr>
    </w:p>
    <w:p>
      <w:pPr>
        <w:ind w:left="1560" w:hanging="515"/>
        <w:spacing w:after="0"/>
        <w:tabs>
          <w:tab w:leader="none" w:pos="156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the application of any Basel II Regulation or any Basel III Regulation to the transactions contemplated by the Finance Documents; or</w:t>
      </w:r>
    </w:p>
    <w:p>
      <w:pPr>
        <w:spacing w:after="0" w:line="248" w:lineRule="exact"/>
        <w:rPr>
          <w:rFonts w:ascii="Arial" w:cs="Arial" w:eastAsia="Arial" w:hAnsi="Arial"/>
          <w:sz w:val="16"/>
          <w:szCs w:val="16"/>
          <w:color w:val="auto"/>
        </w:rPr>
      </w:pPr>
    </w:p>
    <w:p>
      <w:pPr>
        <w:ind w:left="1020" w:firstLine="25"/>
        <w:spacing w:after="0" w:line="500" w:lineRule="auto"/>
        <w:tabs>
          <w:tab w:leader="none" w:pos="1543"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 and any representations or warranties implied by law are excluded.</w:t>
      </w:r>
    </w:p>
    <w:p>
      <w:pPr>
        <w:spacing w:after="0" w:line="1" w:lineRule="exact"/>
        <w:rPr>
          <w:rFonts w:ascii="Arial" w:cs="Arial" w:eastAsia="Arial" w:hAnsi="Arial"/>
          <w:sz w:val="18"/>
          <w:szCs w:val="18"/>
          <w:color w:val="auto"/>
        </w:rPr>
      </w:pPr>
    </w:p>
    <w:p>
      <w:pPr>
        <w:ind w:left="1040" w:hanging="526"/>
        <w:spacing w:after="0"/>
        <w:tabs>
          <w:tab w:leader="none" w:pos="10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25" w:lineRule="exact"/>
        <w:rPr>
          <w:rFonts w:ascii="Arial" w:cs="Arial" w:eastAsia="Arial" w:hAnsi="Arial"/>
          <w:sz w:val="18"/>
          <w:szCs w:val="18"/>
          <w:color w:val="auto"/>
        </w:rPr>
      </w:pPr>
    </w:p>
    <w:p>
      <w:pPr>
        <w:ind w:left="2060" w:right="740" w:hanging="497"/>
        <w:spacing w:after="0" w:line="277" w:lineRule="auto"/>
        <w:tabs>
          <w:tab w:leader="none" w:pos="207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70" w:lineRule="exact"/>
        <w:rPr>
          <w:rFonts w:ascii="Arial" w:cs="Arial" w:eastAsia="Arial" w:hAnsi="Arial"/>
          <w:sz w:val="18"/>
          <w:szCs w:val="18"/>
          <w:color w:val="auto"/>
        </w:rPr>
      </w:pPr>
    </w:p>
    <w:p>
      <w:pPr>
        <w:ind w:left="2060" w:right="640" w:hanging="497"/>
        <w:spacing w:after="0" w:line="277" w:lineRule="auto"/>
        <w:tabs>
          <w:tab w:leader="none" w:pos="2064" w:val="left"/>
        </w:tabs>
        <w:numPr>
          <w:ilvl w:val="2"/>
          <w:numId w:val="448"/>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70" w:lineRule="exact"/>
        <w:rPr>
          <w:sz w:val="20"/>
          <w:szCs w:val="20"/>
          <w:color w:val="auto"/>
        </w:rPr>
      </w:pPr>
    </w:p>
    <w:p>
      <w:pPr>
        <w:ind w:left="1020" w:right="260"/>
        <w:spacing w:after="0" w:line="277"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2" w:name="page353"/>
    <w:bookmarkEnd w:id="352"/>
    <w:p>
      <w:pPr>
        <w:ind w:left="1560" w:right="520" w:hanging="515"/>
        <w:spacing w:after="0" w:line="277" w:lineRule="auto"/>
        <w:tabs>
          <w:tab w:leader="none" w:pos="1585" w:val="left"/>
        </w:tabs>
        <w:numPr>
          <w:ilvl w:val="1"/>
          <w:numId w:val="449"/>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70" w:lineRule="exact"/>
        <w:rPr>
          <w:rFonts w:ascii="Arial" w:cs="Arial" w:eastAsia="Arial" w:hAnsi="Arial"/>
          <w:sz w:val="18"/>
          <w:szCs w:val="18"/>
          <w:color w:val="auto"/>
        </w:rPr>
      </w:pPr>
    </w:p>
    <w:p>
      <w:pPr>
        <w:ind w:left="1560" w:right="40" w:hanging="515"/>
        <w:spacing w:after="0" w:line="277" w:lineRule="auto"/>
        <w:tabs>
          <w:tab w:leader="none" w:pos="1594" w:val="left"/>
        </w:tabs>
        <w:numPr>
          <w:ilvl w:val="1"/>
          <w:numId w:val="449"/>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70" w:lineRule="exact"/>
        <w:rPr>
          <w:rFonts w:ascii="Arial" w:cs="Arial" w:eastAsia="Arial" w:hAnsi="Arial"/>
          <w:sz w:val="18"/>
          <w:szCs w:val="18"/>
          <w:color w:val="auto"/>
        </w:rPr>
      </w:pPr>
    </w:p>
    <w:p>
      <w:pPr>
        <w:ind w:left="1060" w:hanging="546"/>
        <w:spacing w:after="0"/>
        <w:tabs>
          <w:tab w:leader="none" w:pos="10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30; or</w:t>
      </w:r>
    </w:p>
    <w:p>
      <w:pPr>
        <w:spacing w:after="0" w:line="225" w:lineRule="exact"/>
        <w:rPr>
          <w:rFonts w:ascii="Arial" w:cs="Arial" w:eastAsia="Arial" w:hAnsi="Arial"/>
          <w:sz w:val="18"/>
          <w:szCs w:val="18"/>
          <w:color w:val="auto"/>
        </w:rPr>
      </w:pPr>
    </w:p>
    <w:p>
      <w:pPr>
        <w:ind w:left="1560" w:right="360" w:hanging="515"/>
        <w:spacing w:after="0" w:line="263" w:lineRule="auto"/>
        <w:tabs>
          <w:tab w:leader="none" w:pos="1585" w:val="left"/>
        </w:tabs>
        <w:numPr>
          <w:ilvl w:val="1"/>
          <w:numId w:val="450"/>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5"/>
          <w:szCs w:val="15"/>
          <w:b w:val="1"/>
          <w:bCs w:val="1"/>
          <w:color w:val="auto"/>
        </w:rPr>
        <w:t>Procedure for assignment</w:t>
      </w:r>
    </w:p>
    <w:p>
      <w:pPr>
        <w:spacing w:after="0" w:line="229" w:lineRule="exact"/>
        <w:rPr>
          <w:sz w:val="20"/>
          <w:szCs w:val="20"/>
          <w:color w:val="auto"/>
        </w:rPr>
      </w:pPr>
    </w:p>
    <w:p>
      <w:pPr>
        <w:ind w:left="1020" w:hanging="506"/>
        <w:spacing w:after="0"/>
        <w:tabs>
          <w:tab w:leader="none" w:pos="10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Subject to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w:t>
      </w:r>
    </w:p>
    <w:p>
      <w:pPr>
        <w:spacing w:after="0" w:line="23" w:lineRule="exact"/>
        <w:rPr>
          <w:rFonts w:ascii="Arial" w:cs="Arial" w:eastAsia="Arial" w:hAnsi="Arial"/>
          <w:sz w:val="18"/>
          <w:szCs w:val="18"/>
          <w:color w:val="auto"/>
        </w:rPr>
      </w:pPr>
    </w:p>
    <w:p>
      <w:pPr>
        <w:ind w:left="1020" w:right="20"/>
        <w:spacing w:after="0" w:line="269" w:lineRule="auto"/>
        <w:rPr>
          <w:rFonts w:ascii="Arial" w:cs="Arial" w:eastAsia="Arial" w:hAnsi="Arial"/>
          <w:sz w:val="18"/>
          <w:szCs w:val="18"/>
          <w:color w:val="auto"/>
        </w:rPr>
      </w:pPr>
      <w:r>
        <w:rPr>
          <w:rFonts w:ascii="Arial" w:cs="Arial" w:eastAsia="Arial" w:hAnsi="Arial"/>
          <w:sz w:val="17"/>
          <w:szCs w:val="17"/>
          <w:color w:val="auto"/>
        </w:rPr>
        <w:t>clause 30.5(d) below when (a) the Agent executes an otherwise duly completed Transfer Certificate and (b) the Agent executes any document required under clause 30.2(d) (</w:t>
      </w:r>
      <w:r>
        <w:rPr>
          <w:rFonts w:ascii="Arial" w:cs="Arial" w:eastAsia="Arial" w:hAnsi="Arial"/>
          <w:sz w:val="17"/>
          <w:szCs w:val="17"/>
          <w:i w:val="1"/>
          <w:iCs w:val="1"/>
          <w:color w:val="auto"/>
        </w:rPr>
        <w:t>Conditions of assignment</w:t>
      </w:r>
      <w:r>
        <w:rPr>
          <w:rFonts w:ascii="Arial" w:cs="Arial" w:eastAsia="Arial" w:hAnsi="Arial"/>
          <w:sz w:val="17"/>
          <w:szCs w:val="17"/>
          <w:color w:val="auto"/>
        </w:rPr>
        <w:t>) which it may be necessary for it to execute in each case delivered to it by the Existing Lender and the New Lender duly executed by them and, in the case of any such other document, any other relevant person. The Agent shall, subject to clause 30.5(b)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180" w:lineRule="exact"/>
        <w:rPr>
          <w:rFonts w:ascii="Arial" w:cs="Arial" w:eastAsia="Arial" w:hAnsi="Arial"/>
          <w:sz w:val="18"/>
          <w:szCs w:val="18"/>
          <w:color w:val="auto"/>
        </w:rPr>
      </w:pPr>
    </w:p>
    <w:p>
      <w:pPr>
        <w:ind w:left="1020" w:hanging="506"/>
        <w:spacing w:after="0" w:line="263" w:lineRule="auto"/>
        <w:tabs>
          <w:tab w:leader="none" w:pos="102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3" w:lineRule="exact"/>
        <w:rPr>
          <w:rFonts w:ascii="Arial" w:cs="Arial" w:eastAsia="Arial" w:hAnsi="Arial"/>
          <w:sz w:val="18"/>
          <w:szCs w:val="18"/>
          <w:color w:val="auto"/>
        </w:rPr>
      </w:pPr>
    </w:p>
    <w:p>
      <w:pPr>
        <w:ind w:left="1020" w:right="280" w:hanging="506"/>
        <w:spacing w:after="0" w:line="277" w:lineRule="auto"/>
        <w:tabs>
          <w:tab w:leader="none" w:pos="102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5" w:lineRule="exact"/>
        <w:rPr>
          <w:rFonts w:ascii="Arial" w:cs="Arial" w:eastAsia="Arial" w:hAnsi="Arial"/>
          <w:sz w:val="18"/>
          <w:szCs w:val="18"/>
          <w:color w:val="auto"/>
        </w:rPr>
      </w:pPr>
    </w:p>
    <w:p>
      <w:pPr>
        <w:ind w:left="1560" w:right="180" w:hanging="515"/>
        <w:spacing w:after="0" w:line="277" w:lineRule="auto"/>
        <w:tabs>
          <w:tab w:leader="none" w:pos="157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66" w:lineRule="exact"/>
        <w:rPr>
          <w:rFonts w:ascii="Arial" w:cs="Arial" w:eastAsia="Arial" w:hAnsi="Arial"/>
          <w:sz w:val="18"/>
          <w:szCs w:val="18"/>
          <w:color w:val="auto"/>
        </w:rPr>
      </w:pPr>
    </w:p>
    <w:p>
      <w:pPr>
        <w:ind w:left="1560" w:right="60" w:hanging="515"/>
        <w:spacing w:after="0" w:line="266" w:lineRule="auto"/>
        <w:tabs>
          <w:tab w:leader="none" w:pos="158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Transfer Certificate (but the obligations owed by the Obligors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 shall not be released); and</w:t>
      </w:r>
    </w:p>
    <w:p>
      <w:pPr>
        <w:spacing w:after="0" w:line="179" w:lineRule="exact"/>
        <w:rPr>
          <w:rFonts w:ascii="Arial" w:cs="Arial" w:eastAsia="Arial" w:hAnsi="Arial"/>
          <w:sz w:val="18"/>
          <w:szCs w:val="18"/>
          <w:color w:val="auto"/>
        </w:rPr>
      </w:pPr>
    </w:p>
    <w:p>
      <w:pPr>
        <w:ind w:left="1560" w:right="320" w:hanging="515"/>
        <w:spacing w:after="0" w:line="277" w:lineRule="auto"/>
        <w:tabs>
          <w:tab w:leader="none" w:pos="159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70" w:lineRule="exact"/>
        <w:rPr>
          <w:rFonts w:ascii="Arial" w:cs="Arial" w:eastAsia="Arial" w:hAnsi="Arial"/>
          <w:sz w:val="18"/>
          <w:szCs w:val="18"/>
          <w:color w:val="auto"/>
        </w:rPr>
      </w:pPr>
    </w:p>
    <w:p>
      <w:pPr>
        <w:ind w:left="1020" w:right="40" w:hanging="506"/>
        <w:spacing w:after="0" w:line="277" w:lineRule="auto"/>
        <w:tabs>
          <w:tab w:leader="none" w:pos="102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assign their rights under the Finance Documents (but not, without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3" w:name="page354"/>
    <w:bookmarkEnd w:id="353"/>
    <w:p>
      <w:pPr>
        <w:ind w:left="1040" w:right="40"/>
        <w:spacing w:after="0" w:line="263" w:lineRule="auto"/>
        <w:rPr>
          <w:sz w:val="20"/>
          <w:szCs w:val="20"/>
          <w:color w:val="auto"/>
        </w:rPr>
      </w:pPr>
      <w:r>
        <w:rPr>
          <w:rFonts w:ascii="Arial" w:cs="Arial" w:eastAsia="Arial" w:hAnsi="Arial"/>
          <w:sz w:val="18"/>
          <w:szCs w:val="18"/>
          <w:color w:val="auto"/>
        </w:rPr>
        <w:t>consent of the relevant Obligor or unless in accordance with clauses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to obtain a release by that Obligor from the obligations owed to that Obligor by the Lenders nor the assumption of equivalent obligations by a New Lender) provided that they comply with the conditions set out in clause 30.2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Copy of Transfer Certificate to Borrower</w:t>
      </w:r>
    </w:p>
    <w:p>
      <w:pPr>
        <w:spacing w:after="0" w:line="229" w:lineRule="exact"/>
        <w:rPr>
          <w:sz w:val="20"/>
          <w:szCs w:val="20"/>
          <w:color w:val="auto"/>
        </w:rPr>
      </w:pPr>
    </w:p>
    <w:p>
      <w:pPr>
        <w:ind w:left="520" w:right="1160"/>
        <w:spacing w:after="0" w:line="342" w:lineRule="auto"/>
        <w:rPr>
          <w:sz w:val="20"/>
          <w:szCs w:val="20"/>
          <w:color w:val="auto"/>
        </w:rPr>
      </w:pPr>
      <w:r>
        <w:rPr>
          <w:rFonts w:ascii="Arial" w:cs="Arial" w:eastAsia="Arial" w:hAnsi="Arial"/>
          <w:sz w:val="16"/>
          <w:szCs w:val="16"/>
          <w:color w:val="auto"/>
        </w:rPr>
        <w:t>The Agent shall, as soon as reasonably practicable after it has executed a Transfer Certificate and any other document required under clause 30.2(d) (</w:t>
      </w:r>
      <w:r>
        <w:rPr>
          <w:rFonts w:ascii="Arial" w:cs="Arial" w:eastAsia="Arial" w:hAnsi="Arial"/>
          <w:sz w:val="16"/>
          <w:szCs w:val="16"/>
          <w:i w:val="1"/>
          <w:iCs w:val="1"/>
          <w:color w:val="auto"/>
        </w:rPr>
        <w:t>Conditions of assignment</w:t>
      </w:r>
      <w:r>
        <w:rPr>
          <w:rFonts w:ascii="Arial" w:cs="Arial" w:eastAsia="Arial" w:hAnsi="Arial"/>
          <w:sz w:val="16"/>
          <w:szCs w:val="16"/>
          <w:color w:val="auto"/>
        </w:rPr>
        <w:t>), send a copy of that Transfer Certificate and such other documents to the Borrower.</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b w:val="1"/>
          <w:bCs w:val="1"/>
          <w:color w:val="auto"/>
        </w:rPr>
        <w:t>Security over Lenders’ rights</w:t>
      </w:r>
    </w:p>
    <w:p>
      <w:pPr>
        <w:spacing w:after="0" w:line="229" w:lineRule="exact"/>
        <w:rPr>
          <w:sz w:val="20"/>
          <w:szCs w:val="20"/>
          <w:color w:val="auto"/>
        </w:rPr>
      </w:pPr>
    </w:p>
    <w:p>
      <w:pPr>
        <w:ind w:left="520" w:right="300"/>
        <w:spacing w:after="0" w:line="263" w:lineRule="auto"/>
        <w:rPr>
          <w:sz w:val="20"/>
          <w:szCs w:val="20"/>
          <w:color w:val="auto"/>
        </w:rPr>
      </w:pPr>
      <w:r>
        <w:rPr>
          <w:rFonts w:ascii="Arial" w:cs="Arial" w:eastAsia="Arial" w:hAnsi="Arial"/>
          <w:sz w:val="18"/>
          <w:szCs w:val="18"/>
          <w:color w:val="auto"/>
        </w:rPr>
        <w:t>In addition to the other rights provided to Lenders under this clause 30.7,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4" w:lineRule="exact"/>
        <w:rPr>
          <w:sz w:val="20"/>
          <w:szCs w:val="20"/>
          <w:color w:val="auto"/>
        </w:rPr>
      </w:pPr>
    </w:p>
    <w:p>
      <w:pPr>
        <w:ind w:left="1020" w:hanging="506"/>
        <w:spacing w:after="0"/>
        <w:tabs>
          <w:tab w:leader="none" w:pos="10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25" w:lineRule="exact"/>
        <w:rPr>
          <w:rFonts w:ascii="Arial" w:cs="Arial" w:eastAsia="Arial" w:hAnsi="Arial"/>
          <w:sz w:val="18"/>
          <w:szCs w:val="18"/>
          <w:color w:val="auto"/>
        </w:rPr>
      </w:pPr>
    </w:p>
    <w:p>
      <w:pPr>
        <w:ind w:left="1020" w:right="940" w:hanging="506"/>
        <w:spacing w:after="0" w:line="342" w:lineRule="auto"/>
        <w:tabs>
          <w:tab w:leader="none" w:pos="1021" w:val="left"/>
        </w:tabs>
        <w:numPr>
          <w:ilvl w:val="0"/>
          <w:numId w:val="452"/>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23"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except that no such charge, assignment or Security Interest shall:</w:t>
      </w:r>
    </w:p>
    <w:p>
      <w:pPr>
        <w:spacing w:after="0" w:line="225" w:lineRule="exact"/>
        <w:rPr>
          <w:rFonts w:ascii="Arial" w:cs="Arial" w:eastAsia="Arial" w:hAnsi="Arial"/>
          <w:sz w:val="16"/>
          <w:szCs w:val="16"/>
          <w:color w:val="auto"/>
        </w:rPr>
      </w:pPr>
    </w:p>
    <w:p>
      <w:pPr>
        <w:ind w:left="1560" w:right="640" w:hanging="515"/>
        <w:spacing w:after="0" w:line="277" w:lineRule="auto"/>
        <w:tabs>
          <w:tab w:leader="none" w:pos="1575" w:val="left"/>
        </w:tabs>
        <w:numPr>
          <w:ilvl w:val="1"/>
          <w:numId w:val="452"/>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70" w:lineRule="exact"/>
        <w:rPr>
          <w:rFonts w:ascii="Arial" w:cs="Arial" w:eastAsia="Arial" w:hAnsi="Arial"/>
          <w:sz w:val="18"/>
          <w:szCs w:val="18"/>
          <w:color w:val="auto"/>
        </w:rPr>
      </w:pPr>
    </w:p>
    <w:p>
      <w:pPr>
        <w:ind w:left="1560" w:right="420" w:hanging="515"/>
        <w:spacing w:after="0" w:line="277" w:lineRule="auto"/>
        <w:tabs>
          <w:tab w:leader="none" w:pos="1585" w:val="left"/>
        </w:tabs>
        <w:numPr>
          <w:ilvl w:val="1"/>
          <w:numId w:val="452"/>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Pro rata interest settlement</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84" w:lineRule="exact"/>
        <w:rPr>
          <w:sz w:val="20"/>
          <w:szCs w:val="20"/>
          <w:color w:val="auto"/>
        </w:rPr>
      </w:pPr>
    </w:p>
    <w:p>
      <w:pPr>
        <w:ind w:left="1020" w:right="140" w:hanging="506"/>
        <w:spacing w:after="0" w:line="301" w:lineRule="auto"/>
        <w:tabs>
          <w:tab w:leader="none" w:pos="1011"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spacing w:after="0" w:line="157" w:lineRule="exact"/>
        <w:rPr>
          <w:rFonts w:ascii="Arial" w:cs="Arial" w:eastAsia="Arial" w:hAnsi="Arial"/>
          <w:sz w:val="16"/>
          <w:szCs w:val="16"/>
          <w:color w:val="auto"/>
        </w:rPr>
      </w:pPr>
    </w:p>
    <w:p>
      <w:pPr>
        <w:ind w:left="1020" w:hanging="506"/>
        <w:spacing w:after="0"/>
        <w:tabs>
          <w:tab w:leader="none" w:pos="10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rights assigned by the Existing Lender will not include the right to the Accrued Amounts, so that, for the avoidance of doubt:</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25" w:lineRule="exact"/>
        <w:rPr>
          <w:rFonts w:ascii="Arial" w:cs="Arial" w:eastAsia="Arial" w:hAnsi="Arial"/>
          <w:sz w:val="18"/>
          <w:szCs w:val="18"/>
          <w:color w:val="auto"/>
        </w:rPr>
      </w:pPr>
    </w:p>
    <w:p>
      <w:pPr>
        <w:ind w:left="1560" w:right="140" w:hanging="515"/>
        <w:spacing w:after="0" w:line="277" w:lineRule="auto"/>
        <w:tabs>
          <w:tab w:leader="none" w:pos="1585"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30.8, have been payable to it on that date, but after deduction of the Accrued Amounts.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4" w:name="page355"/>
    <w:bookmarkEnd w:id="354"/>
    <w:p>
      <w:pPr>
        <w:ind w:left="1020" w:hanging="506"/>
        <w:spacing w:after="0"/>
        <w:tabs>
          <w:tab w:leader="none" w:pos="10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this clause 30.8 references to Interest Period shall be construed to include a reference to any other period for accrual of fees.</w:t>
      </w:r>
    </w:p>
    <w:p>
      <w:pPr>
        <w:spacing w:after="0" w:line="225" w:lineRule="exact"/>
        <w:rPr>
          <w:rFonts w:ascii="Arial" w:cs="Arial" w:eastAsia="Arial" w:hAnsi="Arial"/>
          <w:sz w:val="18"/>
          <w:szCs w:val="18"/>
          <w:color w:val="auto"/>
        </w:rPr>
      </w:pPr>
    </w:p>
    <w:p>
      <w:pPr>
        <w:ind w:left="1020" w:hanging="506"/>
        <w:spacing w:after="0" w:line="286" w:lineRule="auto"/>
        <w:tabs>
          <w:tab w:leader="none" w:pos="1021"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 Existing Lender which retains the right to the Accrued Amounts pursuant to this clause 30.8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61" w:lineRule="exact"/>
        <w:rPr>
          <w:sz w:val="20"/>
          <w:szCs w:val="20"/>
          <w:color w:val="auto"/>
        </w:rPr>
      </w:pPr>
    </w:p>
    <w:p>
      <w:pPr>
        <w:ind w:right="5520" w:firstLine="8"/>
        <w:spacing w:after="0" w:line="503" w:lineRule="auto"/>
        <w:tabs>
          <w:tab w:leader="none" w:pos="504"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Obligors/Restriction on Debt Purchase Transactions 31.1 Changes to the Obligors</w:t>
      </w:r>
    </w:p>
    <w:p>
      <w:pPr>
        <w:jc w:val="both"/>
        <w:ind w:left="520" w:right="60"/>
        <w:spacing w:after="0" w:line="277"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Prohibition on Debt Purchase Transactions by the Group</w:t>
      </w:r>
    </w:p>
    <w:p>
      <w:pPr>
        <w:spacing w:after="0" w:line="229" w:lineRule="exact"/>
        <w:rPr>
          <w:sz w:val="20"/>
          <w:szCs w:val="20"/>
          <w:color w:val="auto"/>
        </w:rPr>
      </w:pPr>
    </w:p>
    <w:p>
      <w:pPr>
        <w:jc w:val="both"/>
        <w:ind w:left="520" w:right="60"/>
        <w:spacing w:after="0" w:line="263" w:lineRule="auto"/>
        <w:rPr>
          <w:sz w:val="20"/>
          <w:szCs w:val="20"/>
          <w:color w:val="auto"/>
        </w:rPr>
      </w:pPr>
      <w:r>
        <w:rPr>
          <w:rFonts w:ascii="Arial" w:cs="Arial" w:eastAsia="Arial" w:hAnsi="Arial"/>
          <w:sz w:val="18"/>
          <w:szCs w:val="18"/>
          <w:color w:val="auto"/>
        </w:rPr>
        <w:t>The Obligors shall not, and the Borrower shall procure that each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80" w:lineRule="exact"/>
        <w:rPr>
          <w:sz w:val="20"/>
          <w:szCs w:val="20"/>
          <w:color w:val="auto"/>
        </w:rPr>
      </w:pPr>
    </w:p>
    <w:p>
      <w:pPr>
        <w:ind w:right="7240" w:firstLine="8"/>
        <w:spacing w:after="0" w:line="503" w:lineRule="auto"/>
        <w:tabs>
          <w:tab w:leader="none" w:pos="504"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Roles of Agent, Security Agent and Arranger 32.1 Appointment of the Agent</w:t>
      </w:r>
    </w:p>
    <w:p>
      <w:pPr>
        <w:ind w:left="1020" w:right="400" w:hanging="506"/>
        <w:spacing w:after="0" w:line="277" w:lineRule="auto"/>
        <w:tabs>
          <w:tab w:leader="none" w:pos="1011" w:val="left"/>
        </w:tabs>
        <w:numPr>
          <w:ilvl w:val="1"/>
          <w:numId w:val="456"/>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25" w:lineRule="exact"/>
        <w:rPr>
          <w:rFonts w:ascii="Arial" w:cs="Arial" w:eastAsia="Arial" w:hAnsi="Arial"/>
          <w:sz w:val="18"/>
          <w:szCs w:val="18"/>
          <w:color w:val="auto"/>
        </w:rPr>
      </w:pPr>
    </w:p>
    <w:p>
      <w:pPr>
        <w:ind w:left="1560" w:right="80" w:hanging="515"/>
        <w:spacing w:after="0" w:line="263" w:lineRule="auto"/>
        <w:tabs>
          <w:tab w:leader="none" w:pos="1575" w:val="left"/>
        </w:tabs>
        <w:numPr>
          <w:ilvl w:val="2"/>
          <w:numId w:val="456"/>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183" w:lineRule="exact"/>
        <w:rPr>
          <w:rFonts w:ascii="Arial" w:cs="Arial" w:eastAsia="Arial" w:hAnsi="Arial"/>
          <w:sz w:val="18"/>
          <w:szCs w:val="18"/>
          <w:color w:val="auto"/>
        </w:rPr>
      </w:pPr>
    </w:p>
    <w:p>
      <w:pPr>
        <w:ind w:left="1580" w:hanging="535"/>
        <w:spacing w:after="0"/>
        <w:tabs>
          <w:tab w:leader="none" w:pos="1580" w:val="left"/>
        </w:tabs>
        <w:numPr>
          <w:ilvl w:val="2"/>
          <w:numId w:val="456"/>
        </w:numPr>
        <w:rPr>
          <w:rFonts w:ascii="Arial" w:cs="Arial" w:eastAsia="Arial" w:hAnsi="Arial"/>
          <w:sz w:val="16"/>
          <w:szCs w:val="16"/>
          <w:color w:val="auto"/>
        </w:rPr>
      </w:pPr>
      <w:r>
        <w:rPr>
          <w:rFonts w:ascii="Arial" w:cs="Arial" w:eastAsia="Arial" w:hAnsi="Arial"/>
          <w:sz w:val="16"/>
          <w:szCs w:val="16"/>
          <w:color w:val="auto"/>
        </w:rPr>
        <w:t>to execute each of the Security Documents and all other documents that may be approved by the Majority Lenders for execution by it.</w:t>
      </w:r>
    </w:p>
    <w:p>
      <w:pPr>
        <w:spacing w:after="0" w:line="248" w:lineRule="exact"/>
        <w:rPr>
          <w:rFonts w:ascii="Arial" w:cs="Arial" w:eastAsia="Arial" w:hAnsi="Arial"/>
          <w:sz w:val="16"/>
          <w:szCs w:val="16"/>
          <w:color w:val="auto"/>
        </w:rPr>
      </w:pPr>
    </w:p>
    <w:p>
      <w:pPr>
        <w:ind w:left="1020" w:right="460" w:hanging="506"/>
        <w:spacing w:after="0" w:line="277" w:lineRule="auto"/>
        <w:tabs>
          <w:tab w:leader="none" w:pos="1024"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Agent accepts its appointment under clause 32.1(a) as agent for the Finance Parties (for so long as they are Finance Parties) on and subject to the terms of this clause 32, and any Finance Documents to which it is a Party.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Instructions to Agent</w:t>
      </w:r>
    </w:p>
    <w:p>
      <w:pPr>
        <w:spacing w:after="0" w:line="229" w:lineRule="exact"/>
        <w:rPr>
          <w:sz w:val="20"/>
          <w:szCs w:val="20"/>
          <w:color w:val="auto"/>
        </w:rPr>
      </w:pPr>
    </w:p>
    <w:p>
      <w:pPr>
        <w:ind w:left="1020" w:hanging="506"/>
        <w:spacing w:after="0"/>
        <w:tabs>
          <w:tab w:leader="none" w:pos="10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25" w:lineRule="exact"/>
        <w:rPr>
          <w:rFonts w:ascii="Arial" w:cs="Arial" w:eastAsia="Arial" w:hAnsi="Arial"/>
          <w:sz w:val="18"/>
          <w:szCs w:val="18"/>
          <w:color w:val="auto"/>
        </w:rPr>
      </w:pPr>
    </w:p>
    <w:p>
      <w:pPr>
        <w:ind w:left="1560" w:right="620" w:hanging="515"/>
        <w:spacing w:after="0" w:line="277" w:lineRule="auto"/>
        <w:tabs>
          <w:tab w:leader="none" w:pos="1575" w:val="left"/>
        </w:tabs>
        <w:numPr>
          <w:ilvl w:val="1"/>
          <w:numId w:val="457"/>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70" w:lineRule="exact"/>
        <w:rPr>
          <w:rFonts w:ascii="Arial" w:cs="Arial" w:eastAsia="Arial" w:hAnsi="Arial"/>
          <w:sz w:val="18"/>
          <w:szCs w:val="18"/>
          <w:color w:val="auto"/>
        </w:rPr>
      </w:pPr>
    </w:p>
    <w:p>
      <w:pPr>
        <w:ind w:left="2060" w:right="120" w:hanging="497"/>
        <w:spacing w:after="0" w:line="277" w:lineRule="auto"/>
        <w:tabs>
          <w:tab w:leader="none" w:pos="2074" w:val="left"/>
        </w:tabs>
        <w:numPr>
          <w:ilvl w:val="2"/>
          <w:numId w:val="457"/>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70" w:lineRule="exact"/>
        <w:rPr>
          <w:rFonts w:ascii="Arial" w:cs="Arial" w:eastAsia="Arial" w:hAnsi="Arial"/>
          <w:sz w:val="18"/>
          <w:szCs w:val="18"/>
          <w:color w:val="auto"/>
        </w:rPr>
      </w:pPr>
    </w:p>
    <w:p>
      <w:pPr>
        <w:ind w:left="2080" w:hanging="517"/>
        <w:spacing w:after="0"/>
        <w:tabs>
          <w:tab w:leader="none" w:pos="2080" w:val="left"/>
        </w:tabs>
        <w:numPr>
          <w:ilvl w:val="2"/>
          <w:numId w:val="457"/>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32.2(a)(i)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120" w:hanging="506"/>
        <w:spacing w:after="0" w:line="279" w:lineRule="auto"/>
        <w:tabs>
          <w:tab w:leader="none" w:pos="1021"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 that it has requested.</w:t>
      </w:r>
    </w:p>
    <w:p>
      <w:pPr>
        <w:spacing w:after="0" w:line="171" w:lineRule="exact"/>
        <w:rPr>
          <w:rFonts w:ascii="Arial" w:cs="Arial" w:eastAsia="Arial" w:hAnsi="Arial"/>
          <w:sz w:val="17"/>
          <w:szCs w:val="17"/>
          <w:color w:val="auto"/>
        </w:rPr>
      </w:pPr>
    </w:p>
    <w:p>
      <w:pPr>
        <w:ind w:left="1020" w:right="160" w:hanging="506"/>
        <w:spacing w:after="0" w:line="311" w:lineRule="auto"/>
        <w:tabs>
          <w:tab w:leader="none" w:pos="1024" w:val="left"/>
        </w:tabs>
        <w:numPr>
          <w:ilvl w:val="0"/>
          <w:numId w:val="458"/>
        </w:numPr>
        <w:rPr>
          <w:rFonts w:ascii="Arial" w:cs="Arial" w:eastAsia="Arial" w:hAnsi="Arial"/>
          <w:sz w:val="16"/>
          <w:szCs w:val="16"/>
          <w:color w:val="auto"/>
        </w:rPr>
      </w:pPr>
      <w:r>
        <w:rPr>
          <w:rFonts w:ascii="Arial" w:cs="Arial" w:eastAsia="Arial" w:hAnsi="Arial"/>
          <w:sz w:val="16"/>
          <w:szCs w:val="16"/>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48" w:lineRule="exact"/>
        <w:rPr>
          <w:rFonts w:ascii="Arial" w:cs="Arial" w:eastAsia="Arial" w:hAnsi="Arial"/>
          <w:sz w:val="16"/>
          <w:szCs w:val="16"/>
          <w:color w:val="auto"/>
        </w:rPr>
      </w:pPr>
    </w:p>
    <w:p>
      <w:pPr>
        <w:ind w:left="1020" w:right="620" w:hanging="506"/>
        <w:spacing w:after="0" w:line="259" w:lineRule="auto"/>
        <w:tabs>
          <w:tab w:leader="none" w:pos="1021"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86" w:lineRule="exact"/>
        <w:rPr>
          <w:rFonts w:ascii="Arial" w:cs="Arial" w:eastAsia="Arial" w:hAnsi="Arial"/>
          <w:sz w:val="18"/>
          <w:szCs w:val="18"/>
          <w:color w:val="auto"/>
        </w:rPr>
      </w:pPr>
    </w:p>
    <w:p>
      <w:pPr>
        <w:ind w:left="1020" w:hanging="506"/>
        <w:spacing w:after="0"/>
        <w:tabs>
          <w:tab w:leader="none" w:pos="10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25" w:lineRule="exact"/>
        <w:rPr>
          <w:rFonts w:ascii="Arial" w:cs="Arial" w:eastAsia="Arial" w:hAnsi="Arial"/>
          <w:sz w:val="18"/>
          <w:szCs w:val="18"/>
          <w:color w:val="auto"/>
        </w:rPr>
      </w:pPr>
    </w:p>
    <w:p>
      <w:pPr>
        <w:jc w:val="both"/>
        <w:ind w:left="1020" w:hanging="506"/>
        <w:spacing w:after="0" w:line="263" w:lineRule="auto"/>
        <w:tabs>
          <w:tab w:leader="none" w:pos="1018"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5"/>
          <w:szCs w:val="15"/>
          <w:b w:val="1"/>
          <w:bCs w:val="1"/>
          <w:color w:val="auto"/>
        </w:rPr>
        <w:t>Duties of the Agent</w:t>
      </w:r>
    </w:p>
    <w:p>
      <w:pPr>
        <w:sectPr>
          <w:pgSz w:w="11900" w:h="16838" w:orient="portrait"/>
          <w:cols w:equalWidth="0" w:num="1">
            <w:col w:w="11220"/>
          </w:cols>
          <w:pgMar w:left="320" w:top="341" w:right="359" w:bottom="0" w:gutter="0" w:footer="0" w:header="0"/>
        </w:sectPr>
      </w:pPr>
    </w:p>
    <w:bookmarkStart w:id="355" w:name="page356"/>
    <w:bookmarkEnd w:id="355"/>
    <w:p>
      <w:pPr>
        <w:ind w:left="506" w:hanging="506"/>
        <w:spacing w:after="0"/>
        <w:tabs>
          <w:tab w:leader="none" w:pos="50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25" w:lineRule="exact"/>
        <w:rPr>
          <w:rFonts w:ascii="Arial" w:cs="Arial" w:eastAsia="Arial" w:hAnsi="Arial"/>
          <w:sz w:val="18"/>
          <w:szCs w:val="18"/>
          <w:color w:val="auto"/>
        </w:rPr>
      </w:pPr>
    </w:p>
    <w:p>
      <w:pPr>
        <w:ind w:left="506" w:right="160" w:hanging="506"/>
        <w:spacing w:after="0" w:line="277" w:lineRule="auto"/>
        <w:tabs>
          <w:tab w:leader="none" w:pos="50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70" w:lineRule="exact"/>
        <w:rPr>
          <w:rFonts w:ascii="Arial" w:cs="Arial" w:eastAsia="Arial" w:hAnsi="Arial"/>
          <w:sz w:val="18"/>
          <w:szCs w:val="18"/>
          <w:color w:val="auto"/>
        </w:rPr>
      </w:pPr>
    </w:p>
    <w:p>
      <w:pPr>
        <w:ind w:left="506" w:hanging="506"/>
        <w:spacing w:after="0"/>
        <w:tabs>
          <w:tab w:leader="none" w:pos="506" w:val="left"/>
        </w:tabs>
        <w:numPr>
          <w:ilvl w:val="0"/>
          <w:numId w:val="459"/>
        </w:numPr>
        <w:rPr>
          <w:rFonts w:ascii="Arial" w:cs="Arial" w:eastAsia="Arial" w:hAnsi="Arial"/>
          <w:sz w:val="17"/>
          <w:szCs w:val="17"/>
          <w:color w:val="auto"/>
        </w:rPr>
      </w:pPr>
      <w:r>
        <w:rPr>
          <w:rFonts w:ascii="Arial" w:cs="Arial" w:eastAsia="Arial" w:hAnsi="Arial"/>
          <w:sz w:val="17"/>
          <w:szCs w:val="17"/>
          <w:color w:val="auto"/>
        </w:rPr>
        <w:t>Without prejudice to clause 30.6 (</w:t>
      </w:r>
      <w:r>
        <w:rPr>
          <w:rFonts w:ascii="Arial" w:cs="Arial" w:eastAsia="Arial" w:hAnsi="Arial"/>
          <w:sz w:val="17"/>
          <w:szCs w:val="17"/>
          <w:i w:val="1"/>
          <w:iCs w:val="1"/>
          <w:color w:val="auto"/>
        </w:rPr>
        <w:t>Copy of Transfer Certificate to Borrower</w:t>
      </w:r>
      <w:r>
        <w:rPr>
          <w:rFonts w:ascii="Arial" w:cs="Arial" w:eastAsia="Arial" w:hAnsi="Arial"/>
          <w:sz w:val="17"/>
          <w:szCs w:val="17"/>
          <w:color w:val="auto"/>
        </w:rPr>
        <w:t>), clause 32.3(b) shall not apply to any Transfer Certificate.</w:t>
      </w:r>
    </w:p>
    <w:p>
      <w:pPr>
        <w:spacing w:after="0" w:line="236" w:lineRule="exact"/>
        <w:rPr>
          <w:rFonts w:ascii="Arial" w:cs="Arial" w:eastAsia="Arial" w:hAnsi="Arial"/>
          <w:sz w:val="17"/>
          <w:szCs w:val="17"/>
          <w:color w:val="auto"/>
        </w:rPr>
      </w:pPr>
    </w:p>
    <w:p>
      <w:pPr>
        <w:ind w:left="506" w:right="120" w:hanging="506"/>
        <w:spacing w:after="0" w:line="277" w:lineRule="auto"/>
        <w:tabs>
          <w:tab w:leader="none" w:pos="50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70" w:lineRule="exact"/>
        <w:rPr>
          <w:rFonts w:ascii="Arial" w:cs="Arial" w:eastAsia="Arial" w:hAnsi="Arial"/>
          <w:sz w:val="18"/>
          <w:szCs w:val="18"/>
          <w:color w:val="auto"/>
        </w:rPr>
      </w:pPr>
    </w:p>
    <w:p>
      <w:pPr>
        <w:ind w:left="506" w:right="100" w:hanging="506"/>
        <w:spacing w:after="0" w:line="277" w:lineRule="auto"/>
        <w:tabs>
          <w:tab w:leader="none" w:pos="51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70" w:lineRule="exact"/>
        <w:rPr>
          <w:rFonts w:ascii="Arial" w:cs="Arial" w:eastAsia="Arial" w:hAnsi="Arial"/>
          <w:sz w:val="18"/>
          <w:szCs w:val="18"/>
          <w:color w:val="auto"/>
        </w:rPr>
      </w:pPr>
    </w:p>
    <w:p>
      <w:pPr>
        <w:ind w:left="506" w:hanging="506"/>
        <w:spacing w:after="0" w:line="342" w:lineRule="auto"/>
        <w:tabs>
          <w:tab w:leader="none" w:pos="504" w:val="left"/>
        </w:tabs>
        <w:numPr>
          <w:ilvl w:val="0"/>
          <w:numId w:val="459"/>
        </w:numPr>
        <w:rPr>
          <w:rFonts w:ascii="Arial" w:cs="Arial" w:eastAsia="Arial" w:hAnsi="Arial"/>
          <w:sz w:val="16"/>
          <w:szCs w:val="16"/>
          <w:color w:val="auto"/>
        </w:rPr>
      </w:pPr>
      <w:r>
        <w:rPr>
          <w:rFonts w:ascii="Arial" w:cs="Arial" w:eastAsia="Arial" w:hAnsi="Arial"/>
          <w:sz w:val="16"/>
          <w:szCs w:val="16"/>
          <w:color w:val="auto"/>
        </w:rPr>
        <w:t>If the Agent is aware of the non-payment of any principal, interest, commitment fee or other fee payable to a Finance Party (other than the Agent or the Arranger or the Security Agent for their own account) under this Agreement it shall promptly notify the other Finance Parties.</w:t>
      </w:r>
    </w:p>
    <w:p>
      <w:pPr>
        <w:spacing w:after="0" w:line="123" w:lineRule="exact"/>
        <w:rPr>
          <w:rFonts w:ascii="Arial" w:cs="Arial" w:eastAsia="Arial" w:hAnsi="Arial"/>
          <w:sz w:val="16"/>
          <w:szCs w:val="16"/>
          <w:color w:val="auto"/>
        </w:rPr>
      </w:pPr>
    </w:p>
    <w:p>
      <w:pPr>
        <w:ind w:left="506" w:right="560" w:hanging="506"/>
        <w:spacing w:after="0" w:line="277" w:lineRule="auto"/>
        <w:tabs>
          <w:tab w:leader="none" w:pos="521"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0"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26"/>
          </w:cols>
          <w:pgMar w:left="834" w:top="341" w:right="539" w:bottom="1440" w:gutter="0" w:footer="0" w:header="0"/>
        </w:sectPr>
      </w:pPr>
    </w:p>
    <w:bookmarkStart w:id="356" w:name="page357"/>
    <w:bookmarkEnd w:id="356"/>
    <w:p>
      <w:pPr>
        <w:spacing w:after="0"/>
        <w:tabs>
          <w:tab w:leader="none" w:pos="50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Role of the Arranger</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Except as specifically provided in the Finance Documents and the Arranger has no obligations of any kind to any other Party under or in connection with any Finance Document or the transactions contemplated by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No fiduciary duties</w:t>
      </w:r>
    </w:p>
    <w:p>
      <w:pPr>
        <w:spacing w:after="0" w:line="229" w:lineRule="exact"/>
        <w:rPr>
          <w:sz w:val="20"/>
          <w:szCs w:val="20"/>
          <w:color w:val="auto"/>
        </w:rPr>
      </w:pPr>
    </w:p>
    <w:p>
      <w:pPr>
        <w:ind w:left="1020" w:hanging="506"/>
        <w:spacing w:after="0"/>
        <w:tabs>
          <w:tab w:leader="none" w:pos="10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Nothing in this Agreement constitutes the Agent and the Arranger as a trustee or fiduciary of any other person.</w:t>
      </w:r>
    </w:p>
    <w:p>
      <w:pPr>
        <w:spacing w:after="0" w:line="225" w:lineRule="exact"/>
        <w:rPr>
          <w:rFonts w:ascii="Arial" w:cs="Arial" w:eastAsia="Arial" w:hAnsi="Arial"/>
          <w:sz w:val="18"/>
          <w:szCs w:val="18"/>
          <w:color w:val="auto"/>
        </w:rPr>
      </w:pPr>
    </w:p>
    <w:p>
      <w:pPr>
        <w:ind w:left="1020" w:right="280" w:hanging="506"/>
        <w:spacing w:after="0" w:line="263" w:lineRule="auto"/>
        <w:tabs>
          <w:tab w:leader="none" w:pos="1021"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None of the Agent, the Security Agent and the Arranger shall be bound to account to any Lender for any sum or the profit element of any sum received by it for its own account or have any obligations to the other Finance Parties beyond those expressly stated in the Finance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5"/>
          <w:szCs w:val="15"/>
          <w:b w:val="1"/>
          <w:bCs w:val="1"/>
          <w:color w:val="auto"/>
        </w:rPr>
        <w:t>Business with the Group</w:t>
      </w:r>
    </w:p>
    <w:p>
      <w:pPr>
        <w:spacing w:after="0" w:line="229"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The Agent, the Security Agent and the Arranger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5"/>
          <w:szCs w:val="15"/>
          <w:b w:val="1"/>
          <w:bCs w:val="1"/>
          <w:color w:val="auto"/>
        </w:rPr>
        <w:t>Rights and discretions of the Agent</w:t>
      </w:r>
    </w:p>
    <w:p>
      <w:pPr>
        <w:spacing w:after="0" w:line="229" w:lineRule="exact"/>
        <w:rPr>
          <w:sz w:val="20"/>
          <w:szCs w:val="20"/>
          <w:color w:val="auto"/>
        </w:rPr>
      </w:pPr>
    </w:p>
    <w:p>
      <w:pPr>
        <w:ind w:left="1020" w:hanging="506"/>
        <w:spacing w:after="0"/>
        <w:tabs>
          <w:tab w:leader="none" w:pos="10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25" w:lineRule="exact"/>
        <w:rPr>
          <w:rFonts w:ascii="Arial" w:cs="Arial" w:eastAsia="Arial" w:hAnsi="Arial"/>
          <w:sz w:val="18"/>
          <w:szCs w:val="18"/>
          <w:color w:val="auto"/>
        </w:rPr>
      </w:pPr>
    </w:p>
    <w:p>
      <w:pPr>
        <w:jc w:val="both"/>
        <w:ind w:left="1560" w:right="20" w:hanging="515"/>
        <w:spacing w:after="0" w:line="263" w:lineRule="auto"/>
        <w:tabs>
          <w:tab w:leader="none" w:pos="1575" w:val="left"/>
        </w:tabs>
        <w:numPr>
          <w:ilvl w:val="1"/>
          <w:numId w:val="461"/>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83" w:lineRule="exact"/>
        <w:rPr>
          <w:rFonts w:ascii="Arial" w:cs="Arial" w:eastAsia="Arial" w:hAnsi="Arial"/>
          <w:sz w:val="18"/>
          <w:szCs w:val="18"/>
          <w:color w:val="auto"/>
        </w:rPr>
      </w:pPr>
    </w:p>
    <w:p>
      <w:pPr>
        <w:ind w:left="1580" w:hanging="535"/>
        <w:spacing w:after="0"/>
        <w:tabs>
          <w:tab w:leader="none" w:pos="15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25" w:lineRule="exact"/>
        <w:rPr>
          <w:rFonts w:ascii="Arial" w:cs="Arial" w:eastAsia="Arial" w:hAnsi="Arial"/>
          <w:sz w:val="18"/>
          <w:szCs w:val="18"/>
          <w:color w:val="auto"/>
        </w:rPr>
      </w:pPr>
    </w:p>
    <w:p>
      <w:pPr>
        <w:ind w:left="2060" w:right="100" w:hanging="497"/>
        <w:spacing w:after="0" w:line="277" w:lineRule="auto"/>
        <w:tabs>
          <w:tab w:leader="none" w:pos="2074" w:val="left"/>
        </w:tabs>
        <w:numPr>
          <w:ilvl w:val="2"/>
          <w:numId w:val="461"/>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70" w:lineRule="exact"/>
        <w:rPr>
          <w:rFonts w:ascii="Arial" w:cs="Arial" w:eastAsia="Arial" w:hAnsi="Arial"/>
          <w:sz w:val="18"/>
          <w:szCs w:val="18"/>
          <w:color w:val="auto"/>
        </w:rPr>
      </w:pPr>
    </w:p>
    <w:p>
      <w:pPr>
        <w:ind w:left="2080" w:hanging="517"/>
        <w:spacing w:after="0"/>
        <w:tabs>
          <w:tab w:leader="none" w:pos="208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25" w:lineRule="exact"/>
        <w:rPr>
          <w:rFonts w:ascii="Arial" w:cs="Arial" w:eastAsia="Arial" w:hAnsi="Arial"/>
          <w:sz w:val="18"/>
          <w:szCs w:val="18"/>
          <w:color w:val="auto"/>
        </w:rPr>
      </w:pPr>
    </w:p>
    <w:p>
      <w:pPr>
        <w:ind w:left="2080" w:hanging="517"/>
        <w:spacing w:after="0"/>
        <w:tabs>
          <w:tab w:leader="none" w:pos="2080" w:val="left"/>
        </w:tabs>
        <w:numPr>
          <w:ilvl w:val="2"/>
          <w:numId w:val="461"/>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48" w:lineRule="exact"/>
        <w:rPr>
          <w:rFonts w:ascii="Arial" w:cs="Arial" w:eastAsia="Arial" w:hAnsi="Arial"/>
          <w:sz w:val="16"/>
          <w:szCs w:val="16"/>
          <w:color w:val="auto"/>
        </w:rPr>
      </w:pPr>
    </w:p>
    <w:p>
      <w:pPr>
        <w:ind w:left="2080" w:hanging="517"/>
        <w:spacing w:after="0"/>
        <w:tabs>
          <w:tab w:leader="none" w:pos="208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540" w:right="74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70" w:lineRule="exact"/>
        <w:rPr>
          <w:sz w:val="20"/>
          <w:szCs w:val="20"/>
          <w:color w:val="auto"/>
        </w:rPr>
      </w:pPr>
    </w:p>
    <w:p>
      <w:pPr>
        <w:ind w:left="1020" w:hanging="506"/>
        <w:spacing w:after="0"/>
        <w:tabs>
          <w:tab w:leader="none" w:pos="10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57" w:name="page358"/>
    <w:bookmarkEnd w:id="357"/>
    <w:p>
      <w:pPr>
        <w:ind w:left="1560" w:right="80" w:hanging="515"/>
        <w:spacing w:after="0" w:line="277" w:lineRule="auto"/>
        <w:tabs>
          <w:tab w:leader="none" w:pos="158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 and</w:t>
      </w:r>
    </w:p>
    <w:p>
      <w:pPr>
        <w:spacing w:after="0" w:line="170" w:lineRule="exact"/>
        <w:rPr>
          <w:rFonts w:ascii="Arial" w:cs="Arial" w:eastAsia="Arial" w:hAnsi="Arial"/>
          <w:sz w:val="18"/>
          <w:szCs w:val="18"/>
          <w:color w:val="auto"/>
        </w:rPr>
      </w:pPr>
    </w:p>
    <w:p>
      <w:pPr>
        <w:ind w:left="1560" w:right="540" w:hanging="515"/>
        <w:spacing w:after="0" w:line="277" w:lineRule="auto"/>
        <w:tabs>
          <w:tab w:leader="none" w:pos="159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the Utilisation Request) is made on behalf of and with the consent and knowledge of all the Obligors.</w:t>
      </w:r>
    </w:p>
    <w:p>
      <w:pPr>
        <w:spacing w:after="0" w:line="170" w:lineRule="exact"/>
        <w:rPr>
          <w:rFonts w:ascii="Arial" w:cs="Arial" w:eastAsia="Arial" w:hAnsi="Arial"/>
          <w:sz w:val="18"/>
          <w:szCs w:val="18"/>
          <w:color w:val="auto"/>
        </w:rPr>
      </w:pPr>
    </w:p>
    <w:p>
      <w:pPr>
        <w:ind w:left="1020" w:right="120" w:hanging="506"/>
        <w:spacing w:after="0" w:line="277" w:lineRule="auto"/>
        <w:tabs>
          <w:tab w:leader="none" w:pos="102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70" w:lineRule="exact"/>
        <w:rPr>
          <w:rFonts w:ascii="Arial" w:cs="Arial" w:eastAsia="Arial" w:hAnsi="Arial"/>
          <w:sz w:val="18"/>
          <w:szCs w:val="18"/>
          <w:color w:val="auto"/>
        </w:rPr>
      </w:pPr>
    </w:p>
    <w:p>
      <w:pPr>
        <w:ind w:left="1020" w:hanging="506"/>
        <w:spacing w:after="0" w:line="263" w:lineRule="auto"/>
        <w:tabs>
          <w:tab w:leader="none" w:pos="1021" w:val="left"/>
        </w:tabs>
        <w:numPr>
          <w:ilvl w:val="0"/>
          <w:numId w:val="464"/>
        </w:numPr>
        <w:rPr>
          <w:rFonts w:ascii="Arial" w:cs="Arial" w:eastAsia="Arial" w:hAnsi="Arial"/>
          <w:sz w:val="18"/>
          <w:szCs w:val="18"/>
          <w:color w:val="auto"/>
        </w:rPr>
      </w:pPr>
      <w:r>
        <w:rPr>
          <w:rFonts w:ascii="Arial" w:cs="Arial" w:eastAsia="Arial" w:hAnsi="Arial"/>
          <w:sz w:val="18"/>
          <w:szCs w:val="18"/>
          <w:color w:val="auto"/>
        </w:rPr>
        <w:t>Without prejudice to the generality of clause 32.7(c) or clause 32.7(e),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3" w:lineRule="exact"/>
        <w:rPr>
          <w:rFonts w:ascii="Arial" w:cs="Arial" w:eastAsia="Arial" w:hAnsi="Arial"/>
          <w:sz w:val="18"/>
          <w:szCs w:val="18"/>
          <w:color w:val="auto"/>
        </w:rPr>
      </w:pPr>
    </w:p>
    <w:p>
      <w:pPr>
        <w:ind w:left="1020" w:right="140" w:hanging="506"/>
        <w:spacing w:after="0" w:line="273" w:lineRule="auto"/>
        <w:tabs>
          <w:tab w:leader="none" w:pos="1024"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177" w:lineRule="exact"/>
        <w:rPr>
          <w:rFonts w:ascii="Arial" w:cs="Arial" w:eastAsia="Arial" w:hAnsi="Arial"/>
          <w:sz w:val="17"/>
          <w:szCs w:val="17"/>
          <w:color w:val="auto"/>
        </w:rPr>
      </w:pPr>
    </w:p>
    <w:p>
      <w:pPr>
        <w:ind w:left="1020" w:hanging="506"/>
        <w:spacing w:after="0"/>
        <w:tabs>
          <w:tab w:leader="none" w:pos="10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25" w:lineRule="exact"/>
        <w:rPr>
          <w:rFonts w:ascii="Arial" w:cs="Arial" w:eastAsia="Arial" w:hAnsi="Arial"/>
          <w:sz w:val="18"/>
          <w:szCs w:val="18"/>
          <w:color w:val="auto"/>
        </w:rPr>
      </w:pPr>
    </w:p>
    <w:p>
      <w:pPr>
        <w:ind w:left="1020" w:right="120" w:hanging="506"/>
        <w:spacing w:after="0" w:line="277" w:lineRule="auto"/>
        <w:tabs>
          <w:tab w:leader="none" w:pos="103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70" w:lineRule="exact"/>
        <w:rPr>
          <w:rFonts w:ascii="Arial" w:cs="Arial" w:eastAsia="Arial" w:hAnsi="Arial"/>
          <w:sz w:val="18"/>
          <w:szCs w:val="18"/>
          <w:color w:val="auto"/>
        </w:rPr>
      </w:pPr>
    </w:p>
    <w:p>
      <w:pPr>
        <w:ind w:left="1020" w:right="60" w:hanging="506"/>
        <w:spacing w:after="0" w:line="259" w:lineRule="auto"/>
        <w:tabs>
          <w:tab w:leader="none" w:pos="1021" w:val="left"/>
        </w:tabs>
        <w:numPr>
          <w:ilvl w:val="0"/>
          <w:numId w:val="464"/>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the Arranger is obliged to do or omit to do anything if it would or might in its reasonable opinion constitute a breach of any law or regulation or a breach of a fiduciary duty or duty of confidentiality. The Agent and the Arranger may do anything which in its opinion, is necessary or desirable to comply with any law or regulation of any jurisdiction.</w:t>
      </w:r>
    </w:p>
    <w:p>
      <w:pPr>
        <w:spacing w:after="0" w:line="186" w:lineRule="exact"/>
        <w:rPr>
          <w:rFonts w:ascii="Arial" w:cs="Arial" w:eastAsia="Arial" w:hAnsi="Arial"/>
          <w:sz w:val="18"/>
          <w:szCs w:val="18"/>
          <w:color w:val="auto"/>
        </w:rPr>
      </w:pPr>
    </w:p>
    <w:p>
      <w:pPr>
        <w:ind w:left="1020" w:right="220" w:hanging="506"/>
        <w:spacing w:after="0" w:line="308" w:lineRule="auto"/>
        <w:tabs>
          <w:tab w:leader="none" w:pos="1035" w:val="left"/>
        </w:tabs>
        <w:numPr>
          <w:ilvl w:val="0"/>
          <w:numId w:val="464"/>
        </w:numPr>
        <w:rPr>
          <w:rFonts w:ascii="Arial" w:cs="Arial" w:eastAsia="Arial" w:hAnsi="Arial"/>
          <w:sz w:val="17"/>
          <w:szCs w:val="17"/>
          <w:color w:val="auto"/>
        </w:rPr>
      </w:pPr>
      <w:r>
        <w:rPr>
          <w:rFonts w:ascii="Arial" w:cs="Arial" w:eastAsia="Arial" w:hAnsi="Arial"/>
          <w:sz w:val="17"/>
          <w:szCs w:val="17"/>
          <w:color w:val="auto"/>
        </w:rPr>
        <w:t>Without prejudice to the generality of clause 32.7(h), the Agent may (but is not obliged) disclose the identity of a Defaulting Lender to the other Finance Parties and the Borrower and the Agent shall disclose the same upon the written request of the Majority Lenders.</w:t>
      </w:r>
    </w:p>
    <w:p>
      <w:pPr>
        <w:spacing w:after="0" w:line="146" w:lineRule="exact"/>
        <w:rPr>
          <w:rFonts w:ascii="Arial" w:cs="Arial" w:eastAsia="Arial" w:hAnsi="Arial"/>
          <w:sz w:val="17"/>
          <w:szCs w:val="17"/>
          <w:color w:val="auto"/>
        </w:rPr>
      </w:pPr>
    </w:p>
    <w:p>
      <w:pPr>
        <w:ind w:left="1020" w:right="100" w:hanging="506"/>
        <w:spacing w:after="0" w:line="259" w:lineRule="auto"/>
        <w:tabs>
          <w:tab w:leader="none" w:pos="102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6" w:lineRule="exact"/>
        <w:rPr>
          <w:rFonts w:ascii="Arial" w:cs="Arial" w:eastAsia="Arial" w:hAnsi="Arial"/>
          <w:sz w:val="18"/>
          <w:szCs w:val="18"/>
          <w:color w:val="auto"/>
        </w:rPr>
      </w:pPr>
    </w:p>
    <w:p>
      <w:pPr>
        <w:ind w:left="1020" w:right="80" w:hanging="506"/>
        <w:spacing w:after="0" w:line="286" w:lineRule="auto"/>
        <w:tabs>
          <w:tab w:leader="none" w:pos="1021" w:val="left"/>
        </w:tabs>
        <w:numPr>
          <w:ilvl w:val="0"/>
          <w:numId w:val="464"/>
        </w:numPr>
        <w:rPr>
          <w:rFonts w:ascii="Arial" w:cs="Arial" w:eastAsia="Arial" w:hAnsi="Arial"/>
          <w:sz w:val="17"/>
          <w:szCs w:val="17"/>
          <w:color w:val="auto"/>
        </w:rPr>
      </w:pPr>
      <w:r>
        <w:rPr>
          <w:rFonts w:ascii="Arial" w:cs="Arial" w:eastAsia="Arial" w:hAnsi="Arial"/>
          <w:sz w:val="17"/>
          <w:szCs w:val="17"/>
          <w:color w:val="auto"/>
        </w:rPr>
        <w:t>Neither the Agent nor the Arranger shall be obliged to request any certificate, opinion or other information under clause 19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undertakings</w:t>
      </w:r>
      <w:r>
        <w:rPr>
          <w:rFonts w:ascii="Arial" w:cs="Arial" w:eastAsia="Arial" w:hAnsi="Arial"/>
          <w:sz w:val="17"/>
          <w:szCs w:val="17"/>
          <w:color w:val="auto"/>
        </w:rPr>
        <w:t>) unless so required in writing by a Lender or a Hedging Provider, in which case the Agent shall promptly make the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of the Borrower if such request would be in accordance with the terms of this Agreement.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6"/>
          <w:szCs w:val="16"/>
          <w:b w:val="1"/>
          <w:bCs w:val="1"/>
          <w:color w:val="auto"/>
        </w:rPr>
        <w:t>Responsibility for documentation and other matters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the Arranger is responsible or liable 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8" w:name="page359"/>
    <w:bookmarkEnd w:id="358"/>
    <w:p>
      <w:pPr>
        <w:ind w:left="506" w:right="160" w:hanging="506"/>
        <w:spacing w:after="0" w:line="301" w:lineRule="auto"/>
        <w:tabs>
          <w:tab w:leader="none" w:pos="497"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 adequacy, accuracy and/or completeness of any information (whether oral or written) supplied by the Agent, the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57" w:lineRule="exact"/>
        <w:rPr>
          <w:rFonts w:ascii="Arial" w:cs="Arial" w:eastAsia="Arial" w:hAnsi="Arial"/>
          <w:sz w:val="16"/>
          <w:szCs w:val="16"/>
          <w:color w:val="auto"/>
        </w:rPr>
      </w:pPr>
    </w:p>
    <w:p>
      <w:pPr>
        <w:ind w:left="506" w:right="380" w:hanging="506"/>
        <w:spacing w:after="0" w:line="263" w:lineRule="auto"/>
        <w:tabs>
          <w:tab w:leader="none" w:pos="50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other agreement, arrangement or document entered into, made or executed in anticipation of, under or in connection with any Finance Document or any Charter Document;</w:t>
      </w:r>
    </w:p>
    <w:p>
      <w:pPr>
        <w:spacing w:after="0" w:line="183" w:lineRule="exact"/>
        <w:rPr>
          <w:rFonts w:ascii="Arial" w:cs="Arial" w:eastAsia="Arial" w:hAnsi="Arial"/>
          <w:sz w:val="18"/>
          <w:szCs w:val="18"/>
          <w:color w:val="auto"/>
        </w:rPr>
      </w:pPr>
    </w:p>
    <w:p>
      <w:pPr>
        <w:ind w:left="506" w:hanging="506"/>
        <w:spacing w:after="0"/>
        <w:tabs>
          <w:tab w:leader="none" w:pos="50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25" w:lineRule="exact"/>
        <w:rPr>
          <w:rFonts w:ascii="Arial" w:cs="Arial" w:eastAsia="Arial" w:hAnsi="Arial"/>
          <w:sz w:val="18"/>
          <w:szCs w:val="18"/>
          <w:color w:val="auto"/>
        </w:rPr>
      </w:pPr>
    </w:p>
    <w:p>
      <w:pPr>
        <w:ind w:left="506" w:right="100" w:hanging="506"/>
        <w:spacing w:after="0" w:line="277" w:lineRule="auto"/>
        <w:tabs>
          <w:tab w:leader="none" w:pos="50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70" w:lineRule="exact"/>
        <w:rPr>
          <w:rFonts w:ascii="Arial" w:cs="Arial" w:eastAsia="Arial" w:hAnsi="Arial"/>
          <w:sz w:val="18"/>
          <w:szCs w:val="18"/>
          <w:color w:val="auto"/>
        </w:rPr>
      </w:pPr>
    </w:p>
    <w:p>
      <w:pPr>
        <w:ind w:left="506" w:hanging="506"/>
        <w:spacing w:after="0"/>
        <w:tabs>
          <w:tab w:leader="none" w:pos="50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25" w:lineRule="exact"/>
        <w:rPr>
          <w:rFonts w:ascii="Arial" w:cs="Arial" w:eastAsia="Arial" w:hAnsi="Arial"/>
          <w:sz w:val="18"/>
          <w:szCs w:val="18"/>
          <w:color w:val="auto"/>
        </w:rPr>
      </w:pPr>
    </w:p>
    <w:p>
      <w:pPr>
        <w:ind w:left="506" w:right="160" w:hanging="506"/>
        <w:spacing w:after="0" w:line="277" w:lineRule="auto"/>
        <w:tabs>
          <w:tab w:leader="none" w:pos="50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or the financial condition of any such person;</w:t>
      </w:r>
    </w:p>
    <w:p>
      <w:pPr>
        <w:spacing w:after="0" w:line="170" w:lineRule="exact"/>
        <w:rPr>
          <w:rFonts w:ascii="Arial" w:cs="Arial" w:eastAsia="Arial" w:hAnsi="Arial"/>
          <w:sz w:val="18"/>
          <w:szCs w:val="18"/>
          <w:color w:val="auto"/>
        </w:rPr>
      </w:pPr>
    </w:p>
    <w:p>
      <w:pPr>
        <w:ind w:left="506" w:right="160" w:hanging="506"/>
        <w:spacing w:after="0" w:line="277" w:lineRule="auto"/>
        <w:tabs>
          <w:tab w:leader="none" w:pos="521"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70" w:lineRule="exact"/>
        <w:rPr>
          <w:rFonts w:ascii="Arial" w:cs="Arial" w:eastAsia="Arial" w:hAnsi="Arial"/>
          <w:sz w:val="18"/>
          <w:szCs w:val="18"/>
          <w:color w:val="auto"/>
        </w:rPr>
      </w:pPr>
    </w:p>
    <w:p>
      <w:pPr>
        <w:ind w:left="506" w:hanging="506"/>
        <w:spacing w:after="0"/>
        <w:tabs>
          <w:tab w:leader="none" w:pos="506" w:val="left"/>
        </w:tabs>
        <w:numPr>
          <w:ilvl w:val="0"/>
          <w:numId w:val="465"/>
        </w:numPr>
        <w:rPr>
          <w:rFonts w:ascii="Arial" w:cs="Arial" w:eastAsia="Arial" w:hAnsi="Arial"/>
          <w:sz w:val="17"/>
          <w:szCs w:val="17"/>
          <w:color w:val="auto"/>
        </w:rPr>
      </w:pPr>
      <w:r>
        <w:rPr>
          <w:rFonts w:ascii="Arial" w:cs="Arial" w:eastAsia="Arial" w:hAnsi="Arial"/>
          <w:sz w:val="17"/>
          <w:szCs w:val="17"/>
          <w:color w:val="auto"/>
        </w:rPr>
        <w:t>investigating or making any enquiry into the title of any Obligor to any of the Charged Property or any of its other property or assets;</w:t>
      </w:r>
    </w:p>
    <w:p>
      <w:pPr>
        <w:spacing w:after="0" w:line="236" w:lineRule="exact"/>
        <w:rPr>
          <w:rFonts w:ascii="Arial" w:cs="Arial" w:eastAsia="Arial" w:hAnsi="Arial"/>
          <w:sz w:val="17"/>
          <w:szCs w:val="17"/>
          <w:color w:val="auto"/>
        </w:rPr>
      </w:pPr>
    </w:p>
    <w:p>
      <w:pPr>
        <w:ind w:left="526" w:hanging="526"/>
        <w:spacing w:after="0"/>
        <w:tabs>
          <w:tab w:leader="none" w:pos="52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25" w:lineRule="exact"/>
        <w:rPr>
          <w:rFonts w:ascii="Arial" w:cs="Arial" w:eastAsia="Arial" w:hAnsi="Arial"/>
          <w:sz w:val="18"/>
          <w:szCs w:val="18"/>
          <w:color w:val="auto"/>
        </w:rPr>
      </w:pPr>
    </w:p>
    <w:p>
      <w:pPr>
        <w:ind w:left="506" w:right="380" w:hanging="506"/>
        <w:spacing w:after="0" w:line="277" w:lineRule="auto"/>
        <w:tabs>
          <w:tab w:leader="none" w:pos="50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70" w:lineRule="exact"/>
        <w:rPr>
          <w:rFonts w:ascii="Arial" w:cs="Arial" w:eastAsia="Arial" w:hAnsi="Arial"/>
          <w:sz w:val="18"/>
          <w:szCs w:val="18"/>
          <w:color w:val="auto"/>
        </w:rPr>
      </w:pPr>
    </w:p>
    <w:p>
      <w:pPr>
        <w:ind w:left="506" w:right="40" w:hanging="506"/>
        <w:spacing w:after="0" w:line="277" w:lineRule="auto"/>
        <w:tabs>
          <w:tab w:leader="none" w:pos="50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70" w:lineRule="exact"/>
        <w:rPr>
          <w:rFonts w:ascii="Arial" w:cs="Arial" w:eastAsia="Arial" w:hAnsi="Arial"/>
          <w:sz w:val="18"/>
          <w:szCs w:val="18"/>
          <w:color w:val="auto"/>
        </w:rPr>
      </w:pPr>
    </w:p>
    <w:p>
      <w:pPr>
        <w:ind w:left="506" w:right="40" w:hanging="506"/>
        <w:spacing w:after="0" w:line="277" w:lineRule="auto"/>
        <w:tabs>
          <w:tab w:leader="none" w:pos="521" w:val="left"/>
        </w:tabs>
        <w:numPr>
          <w:ilvl w:val="0"/>
          <w:numId w:val="465"/>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70" w:lineRule="exact"/>
        <w:rPr>
          <w:rFonts w:ascii="Arial" w:cs="Arial" w:eastAsia="Arial" w:hAnsi="Arial"/>
          <w:sz w:val="18"/>
          <w:szCs w:val="18"/>
          <w:color w:val="auto"/>
        </w:rPr>
      </w:pPr>
    </w:p>
    <w:p>
      <w:pPr>
        <w:ind w:left="506" w:right="100" w:hanging="506"/>
        <w:spacing w:after="0" w:line="277" w:lineRule="auto"/>
        <w:tabs>
          <w:tab w:leader="none" w:pos="50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70" w:lineRule="exact"/>
        <w:rPr>
          <w:rFonts w:ascii="Arial" w:cs="Arial" w:eastAsia="Arial" w:hAnsi="Arial"/>
          <w:sz w:val="18"/>
          <w:szCs w:val="18"/>
          <w:color w:val="auto"/>
        </w:rPr>
      </w:pPr>
    </w:p>
    <w:p>
      <w:pPr>
        <w:ind w:left="506" w:right="420" w:hanging="506"/>
        <w:spacing w:after="0" w:line="263" w:lineRule="auto"/>
        <w:tabs>
          <w:tab w:leader="none" w:pos="50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83" w:lineRule="exact"/>
        <w:rPr>
          <w:rFonts w:ascii="Arial" w:cs="Arial" w:eastAsia="Arial" w:hAnsi="Arial"/>
          <w:sz w:val="18"/>
          <w:szCs w:val="18"/>
          <w:color w:val="auto"/>
        </w:rPr>
      </w:pPr>
    </w:p>
    <w:p>
      <w:pPr>
        <w:ind w:left="506" w:hanging="506"/>
        <w:spacing w:after="0" w:line="342" w:lineRule="auto"/>
        <w:tabs>
          <w:tab w:leader="none" w:pos="507" w:val="left"/>
        </w:tabs>
        <w:numPr>
          <w:ilvl w:val="0"/>
          <w:numId w:val="465"/>
        </w:numPr>
        <w:rPr>
          <w:rFonts w:ascii="Arial" w:cs="Arial" w:eastAsia="Arial" w:hAnsi="Arial"/>
          <w:sz w:val="16"/>
          <w:szCs w:val="16"/>
          <w:color w:val="auto"/>
        </w:rPr>
      </w:pPr>
      <w:r>
        <w:rPr>
          <w:rFonts w:ascii="Arial" w:cs="Arial" w:eastAsia="Arial" w:hAnsi="Arial"/>
          <w:sz w:val="16"/>
          <w:szCs w:val="16"/>
          <w:color w:val="auto"/>
        </w:rPr>
        <w:t>any unsuitability, inadequacy or unfitness of any Charged Property as security for the Loan and shall not be obliged to make any investigation into, and shall be entitled to assume, the suitability, adequacy and fitness of the Charged Property as security for the Loan; or</w:t>
      </w:r>
    </w:p>
    <w:p>
      <w:pPr>
        <w:spacing w:after="0" w:line="124"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41" w:right="339" w:bottom="1440" w:gutter="0" w:footer="0" w:header="0"/>
        </w:sectPr>
      </w:pPr>
    </w:p>
    <w:bookmarkStart w:id="359" w:name="page360"/>
    <w:bookmarkEnd w:id="359"/>
    <w:p>
      <w:pPr>
        <w:ind w:left="1020" w:right="20" w:hanging="506"/>
        <w:spacing w:after="0" w:line="263" w:lineRule="auto"/>
        <w:tabs>
          <w:tab w:leader="none" w:pos="1021"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6"/>
          <w:szCs w:val="16"/>
          <w:b w:val="1"/>
          <w:bCs w:val="1"/>
          <w:color w:val="auto"/>
        </w:rPr>
        <w:t>No duty to monitor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225" w:lineRule="exact"/>
        <w:rPr>
          <w:sz w:val="20"/>
          <w:szCs w:val="20"/>
          <w:color w:val="auto"/>
        </w:rPr>
      </w:pPr>
    </w:p>
    <w:p>
      <w:pPr>
        <w:ind w:left="1020" w:hanging="506"/>
        <w:spacing w:after="0"/>
        <w:tabs>
          <w:tab w:leader="none" w:pos="10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32.10 Exclusion of liability</w:t>
      </w:r>
    </w:p>
    <w:p>
      <w:pPr>
        <w:spacing w:after="0" w:line="229" w:lineRule="exact"/>
        <w:rPr>
          <w:sz w:val="20"/>
          <w:szCs w:val="20"/>
          <w:color w:val="auto"/>
        </w:rPr>
      </w:pPr>
    </w:p>
    <w:p>
      <w:pPr>
        <w:ind w:left="1020" w:hanging="506"/>
        <w:spacing w:after="0" w:line="263" w:lineRule="auto"/>
        <w:tabs>
          <w:tab w:leader="none" w:pos="1011" w:val="left"/>
        </w:tabs>
        <w:numPr>
          <w:ilvl w:val="0"/>
          <w:numId w:val="468"/>
        </w:numPr>
        <w:rPr>
          <w:rFonts w:ascii="Arial" w:cs="Arial" w:eastAsia="Arial" w:hAnsi="Arial"/>
          <w:sz w:val="18"/>
          <w:szCs w:val="18"/>
          <w:color w:val="auto"/>
        </w:rPr>
      </w:pPr>
      <w:r>
        <w:rPr>
          <w:rFonts w:ascii="Arial" w:cs="Arial" w:eastAsia="Arial" w:hAnsi="Arial"/>
          <w:sz w:val="18"/>
          <w:szCs w:val="18"/>
          <w:color w:val="auto"/>
        </w:rPr>
        <w:t>Without limiting clause 32.10(b)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183" w:lineRule="exact"/>
        <w:rPr>
          <w:rFonts w:ascii="Arial" w:cs="Arial" w:eastAsia="Arial" w:hAnsi="Arial"/>
          <w:sz w:val="18"/>
          <w:szCs w:val="18"/>
          <w:color w:val="auto"/>
        </w:rPr>
      </w:pPr>
    </w:p>
    <w:p>
      <w:pPr>
        <w:ind w:left="1560" w:right="20" w:hanging="515"/>
        <w:spacing w:after="0" w:line="255" w:lineRule="auto"/>
        <w:tabs>
          <w:tab w:leader="none" w:pos="1575" w:val="left"/>
        </w:tabs>
        <w:numPr>
          <w:ilvl w:val="1"/>
          <w:numId w:val="468"/>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92" w:lineRule="exact"/>
        <w:rPr>
          <w:rFonts w:ascii="Arial" w:cs="Arial" w:eastAsia="Arial" w:hAnsi="Arial"/>
          <w:sz w:val="18"/>
          <w:szCs w:val="18"/>
          <w:color w:val="auto"/>
        </w:rPr>
      </w:pPr>
    </w:p>
    <w:p>
      <w:pPr>
        <w:ind w:left="1560" w:right="40" w:hanging="515"/>
        <w:spacing w:after="0" w:line="257" w:lineRule="auto"/>
        <w:tabs>
          <w:tab w:leader="none" w:pos="1585" w:val="left"/>
        </w:tabs>
        <w:numPr>
          <w:ilvl w:val="1"/>
          <w:numId w:val="468"/>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 Agent and in the course of the exercise or non-exercise by it of any right, power, authority or discretion given to it expressly under a Finance Document; or</w:t>
      </w:r>
    </w:p>
    <w:p>
      <w:pPr>
        <w:spacing w:after="0" w:line="187" w:lineRule="exact"/>
        <w:rPr>
          <w:rFonts w:ascii="Arial" w:cs="Arial" w:eastAsia="Arial" w:hAnsi="Arial"/>
          <w:sz w:val="18"/>
          <w:szCs w:val="18"/>
          <w:color w:val="auto"/>
        </w:rPr>
      </w:pPr>
    </w:p>
    <w:p>
      <w:pPr>
        <w:ind w:left="1560" w:right="340" w:hanging="515"/>
        <w:spacing w:after="0" w:line="277" w:lineRule="auto"/>
        <w:tabs>
          <w:tab w:leader="none" w:pos="1594" w:val="left"/>
        </w:tabs>
        <w:numPr>
          <w:ilvl w:val="1"/>
          <w:numId w:val="468"/>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70" w:lineRule="exact"/>
        <w:rPr>
          <w:rFonts w:ascii="Arial" w:cs="Arial" w:eastAsia="Arial" w:hAnsi="Arial"/>
          <w:sz w:val="18"/>
          <w:szCs w:val="18"/>
          <w:color w:val="auto"/>
        </w:rPr>
      </w:pPr>
    </w:p>
    <w:p>
      <w:pPr>
        <w:ind w:left="2080" w:hanging="517"/>
        <w:spacing w:after="0"/>
        <w:tabs>
          <w:tab w:leader="none" w:pos="208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25" w:lineRule="exact"/>
        <w:rPr>
          <w:rFonts w:ascii="Arial" w:cs="Arial" w:eastAsia="Arial" w:hAnsi="Arial"/>
          <w:sz w:val="18"/>
          <w:szCs w:val="18"/>
          <w:color w:val="auto"/>
        </w:rPr>
      </w:pPr>
    </w:p>
    <w:p>
      <w:pPr>
        <w:ind w:left="2080" w:hanging="517"/>
        <w:spacing w:after="0"/>
        <w:tabs>
          <w:tab w:leader="none" w:pos="2080" w:val="left"/>
        </w:tabs>
        <w:numPr>
          <w:ilvl w:val="2"/>
          <w:numId w:val="468"/>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25" w:lineRule="exact"/>
        <w:rPr>
          <w:sz w:val="20"/>
          <w:szCs w:val="20"/>
          <w:color w:val="auto"/>
        </w:rPr>
      </w:pPr>
    </w:p>
    <w:p>
      <w:pPr>
        <w:ind w:left="1540" w:right="60"/>
        <w:spacing w:after="0" w:line="275"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0" w:name="page361"/>
    <w:bookmarkEnd w:id="360"/>
    <w:p>
      <w:pPr>
        <w:ind w:left="1020" w:right="260" w:hanging="506"/>
        <w:spacing w:after="0" w:line="259" w:lineRule="auto"/>
        <w:tabs>
          <w:tab w:leader="none" w:pos="102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32.10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186" w:lineRule="exact"/>
        <w:rPr>
          <w:rFonts w:ascii="Arial" w:cs="Arial" w:eastAsia="Arial" w:hAnsi="Arial"/>
          <w:sz w:val="18"/>
          <w:szCs w:val="18"/>
          <w:color w:val="auto"/>
        </w:rPr>
      </w:pPr>
    </w:p>
    <w:p>
      <w:pPr>
        <w:ind w:left="1020" w:right="140" w:hanging="506"/>
        <w:spacing w:after="0" w:line="286" w:lineRule="auto"/>
        <w:tabs>
          <w:tab w:leader="none" w:pos="1024"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65" w:lineRule="exact"/>
        <w:rPr>
          <w:rFonts w:ascii="Arial" w:cs="Arial" w:eastAsia="Arial" w:hAnsi="Arial"/>
          <w:sz w:val="17"/>
          <w:szCs w:val="17"/>
          <w:color w:val="auto"/>
        </w:rPr>
      </w:pPr>
    </w:p>
    <w:p>
      <w:pPr>
        <w:ind w:left="1020" w:hanging="506"/>
        <w:spacing w:after="0"/>
        <w:tabs>
          <w:tab w:leader="none" w:pos="10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the Arranger to carry out:</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25" w:lineRule="exact"/>
        <w:rPr>
          <w:rFonts w:ascii="Arial" w:cs="Arial" w:eastAsia="Arial" w:hAnsi="Arial"/>
          <w:sz w:val="18"/>
          <w:szCs w:val="18"/>
          <w:color w:val="auto"/>
        </w:rPr>
      </w:pPr>
    </w:p>
    <w:p>
      <w:pPr>
        <w:ind w:left="1580" w:hanging="535"/>
        <w:spacing w:after="0"/>
        <w:tabs>
          <w:tab w:leader="none" w:pos="158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25" w:lineRule="exact"/>
        <w:rPr>
          <w:sz w:val="20"/>
          <w:szCs w:val="20"/>
          <w:color w:val="auto"/>
        </w:rPr>
      </w:pPr>
    </w:p>
    <w:p>
      <w:pPr>
        <w:ind w:left="1020" w:right="580"/>
        <w:spacing w:after="0" w:line="342" w:lineRule="auto"/>
        <w:rPr>
          <w:sz w:val="20"/>
          <w:szCs w:val="20"/>
          <w:color w:val="auto"/>
        </w:rPr>
      </w:pPr>
      <w:r>
        <w:rPr>
          <w:rFonts w:ascii="Arial" w:cs="Arial" w:eastAsia="Arial" w:hAnsi="Arial"/>
          <w:sz w:val="16"/>
          <w:szCs w:val="16"/>
          <w:color w:val="auto"/>
        </w:rPr>
        <w:t>on behalf of any Lender and each Lender confirms to the Agent and the Arranger that it is solely responsible for any such checks it is required to carry out and that it may not rely on any statement in relation to such checks made by the Agent or the Arranger.</w:t>
      </w:r>
    </w:p>
    <w:p>
      <w:pPr>
        <w:spacing w:after="0" w:line="124" w:lineRule="exact"/>
        <w:rPr>
          <w:sz w:val="20"/>
          <w:szCs w:val="20"/>
          <w:color w:val="auto"/>
        </w:rPr>
      </w:pPr>
    </w:p>
    <w:p>
      <w:pPr>
        <w:ind w:left="1020" w:right="140" w:hanging="506"/>
        <w:spacing w:after="0" w:line="254" w:lineRule="auto"/>
        <w:tabs>
          <w:tab w:leader="none" w:pos="1024"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32.11 Lenders’ indemnity to the Agent</w:t>
      </w:r>
    </w:p>
    <w:p>
      <w:pPr>
        <w:spacing w:after="0" w:line="229" w:lineRule="exact"/>
        <w:rPr>
          <w:sz w:val="20"/>
          <w:szCs w:val="20"/>
          <w:color w:val="auto"/>
        </w:rPr>
      </w:pPr>
    </w:p>
    <w:p>
      <w:pPr>
        <w:ind w:left="1020" w:right="140" w:hanging="506"/>
        <w:spacing w:after="0" w:line="277" w:lineRule="auto"/>
        <w:tabs>
          <w:tab w:leader="none" w:pos="1011"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Each Lender shall (in proportion (if no part of the Loans is then outstanding) to its share of the Total Commitments or (at any other time) to its participation in the Loan) indemnify the Agent, within three Business Days of demand, against:</w:t>
      </w:r>
    </w:p>
    <w:p>
      <w:pPr>
        <w:spacing w:after="0" w:line="170" w:lineRule="exact"/>
        <w:rPr>
          <w:rFonts w:ascii="Arial" w:cs="Arial" w:eastAsia="Arial" w:hAnsi="Arial"/>
          <w:sz w:val="18"/>
          <w:szCs w:val="18"/>
          <w:color w:val="auto"/>
        </w:rPr>
      </w:pPr>
    </w:p>
    <w:p>
      <w:pPr>
        <w:ind w:left="1560" w:right="220" w:hanging="515"/>
        <w:spacing w:after="0" w:line="279" w:lineRule="auto"/>
        <w:tabs>
          <w:tab w:leader="none" w:pos="1575" w:val="left"/>
        </w:tabs>
        <w:numPr>
          <w:ilvl w:val="1"/>
          <w:numId w:val="471"/>
        </w:numPr>
        <w:rPr>
          <w:rFonts w:ascii="Arial" w:cs="Arial" w:eastAsia="Arial" w:hAnsi="Arial"/>
          <w:sz w:val="17"/>
          <w:szCs w:val="17"/>
          <w:color w:val="auto"/>
        </w:rPr>
      </w:pPr>
      <w:r>
        <w:rPr>
          <w:rFonts w:ascii="Arial" w:cs="Arial" w:eastAsia="Arial" w:hAnsi="Arial"/>
          <w:sz w:val="17"/>
          <w:szCs w:val="17"/>
          <w:color w:val="auto"/>
        </w:rPr>
        <w:t>any Losses for negligence or any other category of liability whatsoever incurred by the Agent in the circumstances contemplated pursuant to clause 35.11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171" w:lineRule="exact"/>
        <w:rPr>
          <w:rFonts w:ascii="Arial" w:cs="Arial" w:eastAsia="Arial" w:hAnsi="Arial"/>
          <w:sz w:val="17"/>
          <w:szCs w:val="17"/>
          <w:color w:val="auto"/>
        </w:rPr>
      </w:pPr>
    </w:p>
    <w:p>
      <w:pPr>
        <w:ind w:left="1560" w:hanging="515"/>
        <w:spacing w:after="0" w:line="263" w:lineRule="auto"/>
        <w:tabs>
          <w:tab w:leader="none" w:pos="1585" w:val="left"/>
        </w:tabs>
        <w:numPr>
          <w:ilvl w:val="1"/>
          <w:numId w:val="471"/>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184" w:lineRule="exact"/>
        <w:rPr>
          <w:sz w:val="20"/>
          <w:szCs w:val="20"/>
          <w:color w:val="auto"/>
        </w:rPr>
      </w:pPr>
    </w:p>
    <w:p>
      <w:pPr>
        <w:ind w:left="1020" w:right="180"/>
        <w:spacing w:after="0" w:line="279" w:lineRule="auto"/>
        <w:rPr>
          <w:sz w:val="20"/>
          <w:szCs w:val="20"/>
          <w:color w:val="auto"/>
        </w:rPr>
      </w:pPr>
      <w:r>
        <w:rPr>
          <w:rFonts w:ascii="Arial" w:cs="Arial" w:eastAsia="Arial" w:hAnsi="Arial"/>
          <w:sz w:val="17"/>
          <w:szCs w:val="17"/>
          <w:color w:val="auto"/>
        </w:rPr>
        <w:t>in each case incurred by the Agent in acting as such under the Finance Documents (unless the Agent has been reimbursed by an Obligor pursuant to a Finance Document or out of the Trust Property) and this clause 32.11 as applied in favour of the Security Agent pursuant to clause 32.21 (</w:t>
      </w:r>
      <w:r>
        <w:rPr>
          <w:rFonts w:ascii="Arial" w:cs="Arial" w:eastAsia="Arial" w:hAnsi="Arial"/>
          <w:sz w:val="17"/>
          <w:szCs w:val="17"/>
          <w:i w:val="1"/>
          <w:iCs w:val="1"/>
          <w:color w:val="auto"/>
        </w:rPr>
        <w:t>Application of certain clauses to Security Agent</w:t>
      </w:r>
      <w:r>
        <w:rPr>
          <w:rFonts w:ascii="Arial" w:cs="Arial" w:eastAsia="Arial" w:hAnsi="Arial"/>
          <w:sz w:val="17"/>
          <w:szCs w:val="17"/>
          <w:color w:val="auto"/>
        </w:rPr>
        <w:t>) shall be without prejudice to any right to indemnity by law given to trustees generally and any other indemnity in the Security Agent’s favour in any other Finance Document.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1" w:name="page362"/>
    <w:bookmarkEnd w:id="361"/>
    <w:p>
      <w:pPr>
        <w:jc w:val="both"/>
        <w:ind w:left="1020"/>
        <w:spacing w:after="0" w:line="263" w:lineRule="auto"/>
        <w:rPr>
          <w:sz w:val="20"/>
          <w:szCs w:val="20"/>
          <w:color w:val="auto"/>
        </w:rPr>
      </w:pPr>
      <w:r>
        <w:rPr>
          <w:rFonts w:ascii="Arial" w:cs="Arial" w:eastAsia="Arial" w:hAnsi="Arial"/>
          <w:sz w:val="18"/>
          <w:szCs w:val="18"/>
          <w:color w:val="auto"/>
        </w:rPr>
        <w:t>The indemnities contained in this clause 32.11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184" w:lineRule="exact"/>
        <w:rPr>
          <w:sz w:val="20"/>
          <w:szCs w:val="20"/>
          <w:color w:val="auto"/>
        </w:rPr>
      </w:pPr>
    </w:p>
    <w:p>
      <w:pPr>
        <w:ind w:left="1020" w:right="480" w:hanging="506"/>
        <w:spacing w:after="0" w:line="277" w:lineRule="auto"/>
        <w:tabs>
          <w:tab w:leader="none" w:pos="102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Subject to clause 32.11(c), the Borrower shall immediately on demand reimburse any Lender for any payment that Lender makes to the Agent pursuant to clause 32.11(a).</w:t>
      </w:r>
    </w:p>
    <w:p>
      <w:pPr>
        <w:spacing w:after="0" w:line="170" w:lineRule="exact"/>
        <w:rPr>
          <w:rFonts w:ascii="Arial" w:cs="Arial" w:eastAsia="Arial" w:hAnsi="Arial"/>
          <w:sz w:val="18"/>
          <w:szCs w:val="18"/>
          <w:color w:val="auto"/>
        </w:rPr>
      </w:pPr>
    </w:p>
    <w:p>
      <w:pPr>
        <w:ind w:left="1020" w:right="320" w:hanging="506"/>
        <w:spacing w:after="0" w:line="277" w:lineRule="auto"/>
        <w:tabs>
          <w:tab w:leader="none" w:pos="1024"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Clause 32.11(b) shall not apply to the extent that the indemnity payment in respect of which the Lender claims reimbursement relates to a liability of the Agent to an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32.12 Resignation of the Agent</w:t>
      </w:r>
    </w:p>
    <w:p>
      <w:pPr>
        <w:spacing w:after="0" w:line="229" w:lineRule="exact"/>
        <w:rPr>
          <w:sz w:val="20"/>
          <w:szCs w:val="20"/>
          <w:color w:val="auto"/>
        </w:rPr>
      </w:pPr>
    </w:p>
    <w:p>
      <w:pPr>
        <w:ind w:left="1020" w:right="240" w:hanging="506"/>
        <w:spacing w:after="0" w:line="277" w:lineRule="auto"/>
        <w:tabs>
          <w:tab w:leader="none" w:pos="1011"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w:t>
      </w:r>
    </w:p>
    <w:p>
      <w:pPr>
        <w:spacing w:after="0" w:line="170" w:lineRule="exact"/>
        <w:rPr>
          <w:rFonts w:ascii="Arial" w:cs="Arial" w:eastAsia="Arial" w:hAnsi="Arial"/>
          <w:sz w:val="18"/>
          <w:szCs w:val="18"/>
          <w:color w:val="auto"/>
        </w:rPr>
      </w:pPr>
    </w:p>
    <w:p>
      <w:pPr>
        <w:ind w:left="1020" w:right="700" w:hanging="506"/>
        <w:spacing w:after="0" w:line="308" w:lineRule="auto"/>
        <w:tabs>
          <w:tab w:leader="none" w:pos="1021" w:val="left"/>
        </w:tabs>
        <w:numPr>
          <w:ilvl w:val="0"/>
          <w:numId w:val="473"/>
        </w:numPr>
        <w:rPr>
          <w:rFonts w:ascii="Arial" w:cs="Arial" w:eastAsia="Arial" w:hAnsi="Arial"/>
          <w:sz w:val="17"/>
          <w:szCs w:val="17"/>
          <w:color w:val="auto"/>
        </w:rPr>
      </w:pPr>
      <w:r>
        <w:rPr>
          <w:rFonts w:ascii="Arial" w:cs="Arial" w:eastAsia="Arial" w:hAnsi="Arial"/>
          <w:sz w:val="17"/>
          <w:szCs w:val="17"/>
          <w:color w:val="auto"/>
        </w:rPr>
        <w:t>Alternatively the Agent may without giving any reason therefor resign by giving 30 days’ notice to the other Finance Parties and the Borrower, in which case the Majority Lenders (after consultation with the Borrower) may appoint a successor Agent.</w:t>
      </w:r>
    </w:p>
    <w:p>
      <w:pPr>
        <w:spacing w:after="0" w:line="146" w:lineRule="exact"/>
        <w:rPr>
          <w:rFonts w:ascii="Arial" w:cs="Arial" w:eastAsia="Arial" w:hAnsi="Arial"/>
          <w:sz w:val="17"/>
          <w:szCs w:val="17"/>
          <w:color w:val="auto"/>
        </w:rPr>
      </w:pPr>
    </w:p>
    <w:p>
      <w:pPr>
        <w:ind w:left="1020" w:right="580" w:hanging="506"/>
        <w:spacing w:after="0" w:line="308" w:lineRule="auto"/>
        <w:tabs>
          <w:tab w:leader="none" w:pos="1024" w:val="left"/>
        </w:tabs>
        <w:numPr>
          <w:ilvl w:val="0"/>
          <w:numId w:val="473"/>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clause 32.12(b) above within 30 days after notice of resignation was given, the retiring Agent (after consultation with the Borrower) may appoint a successor Agent.</w:t>
      </w:r>
    </w:p>
    <w:p>
      <w:pPr>
        <w:spacing w:after="0" w:line="146" w:lineRule="exact"/>
        <w:rPr>
          <w:rFonts w:ascii="Arial" w:cs="Arial" w:eastAsia="Arial" w:hAnsi="Arial"/>
          <w:sz w:val="17"/>
          <w:szCs w:val="17"/>
          <w:color w:val="auto"/>
        </w:rPr>
      </w:pPr>
    </w:p>
    <w:p>
      <w:pPr>
        <w:ind w:left="1020" w:right="100" w:hanging="506"/>
        <w:spacing w:after="0" w:line="275" w:lineRule="auto"/>
        <w:tabs>
          <w:tab w:leader="none" w:pos="1021"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retiring Agent shall, either at the Lenders’ expense if it has been required to resign pursuant to clause 32.13 (</w:t>
      </w:r>
      <w:r>
        <w:rPr>
          <w:rFonts w:ascii="Arial" w:cs="Arial" w:eastAsia="Arial" w:hAnsi="Arial"/>
          <w:sz w:val="17"/>
          <w:szCs w:val="17"/>
          <w:i w:val="1"/>
          <w:iCs w:val="1"/>
          <w:color w:val="auto"/>
        </w:rPr>
        <w:t>Replacement of the Agent</w:t>
      </w:r>
      <w:r>
        <w:rPr>
          <w:rFonts w:ascii="Arial" w:cs="Arial" w:eastAsia="Arial" w:hAnsi="Arial"/>
          <w:sz w:val="17"/>
          <w:szCs w:val="17"/>
          <w:color w:val="auto"/>
        </w:rPr>
        <w:t>) or otherwise at its own cost,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76" w:lineRule="exact"/>
        <w:rPr>
          <w:rFonts w:ascii="Arial" w:cs="Arial" w:eastAsia="Arial" w:hAnsi="Arial"/>
          <w:sz w:val="17"/>
          <w:szCs w:val="17"/>
          <w:color w:val="auto"/>
        </w:rPr>
      </w:pPr>
    </w:p>
    <w:p>
      <w:pPr>
        <w:ind w:left="1020" w:hanging="506"/>
        <w:spacing w:after="0"/>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25" w:lineRule="exact"/>
        <w:rPr>
          <w:rFonts w:ascii="Arial" w:cs="Arial" w:eastAsia="Arial" w:hAnsi="Arial"/>
          <w:sz w:val="18"/>
          <w:szCs w:val="18"/>
          <w:color w:val="auto"/>
        </w:rPr>
      </w:pPr>
    </w:p>
    <w:p>
      <w:pPr>
        <w:ind w:left="1020" w:right="160" w:hanging="506"/>
        <w:spacing w:after="0" w:line="255" w:lineRule="auto"/>
        <w:tabs>
          <w:tab w:leader="none" w:pos="101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32.12(d)) but shall remain entitled to the benefit of clause 14.3 (</w:t>
      </w:r>
      <w:r>
        <w:rPr>
          <w:rFonts w:ascii="Arial" w:cs="Arial" w:eastAsia="Arial" w:hAnsi="Arial"/>
          <w:sz w:val="18"/>
          <w:szCs w:val="18"/>
          <w:i w:val="1"/>
          <w:iCs w:val="1"/>
          <w:color w:val="auto"/>
        </w:rPr>
        <w:t>Indemnity to the Agent, Security Agent</w:t>
      </w:r>
      <w:r>
        <w:rPr>
          <w:rFonts w:ascii="Arial" w:cs="Arial" w:eastAsia="Arial" w:hAnsi="Arial"/>
          <w:sz w:val="18"/>
          <w:szCs w:val="18"/>
          <w:color w:val="auto"/>
        </w:rPr>
        <w:t>) and this clause 32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92" w:lineRule="exact"/>
        <w:rPr>
          <w:rFonts w:ascii="Arial" w:cs="Arial" w:eastAsia="Arial" w:hAnsi="Arial"/>
          <w:sz w:val="18"/>
          <w:szCs w:val="18"/>
          <w:color w:val="auto"/>
        </w:rPr>
      </w:pPr>
    </w:p>
    <w:p>
      <w:pPr>
        <w:ind w:left="1020" w:right="420" w:hanging="506"/>
        <w:spacing w:after="0" w:line="286" w:lineRule="auto"/>
        <w:tabs>
          <w:tab w:leader="none" w:pos="103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Agent shall resign in accordance with paragraph 32.12(b) above (and, to the extent applicable, shall use reasonable endeavours to appoint a successor Agent pursuant to paragraph 32.12(c) above) if on or after the date which is three months before the earliest FATCA Application Date relating to any payment to the Agent under the Finance Documents, either:</w:t>
      </w:r>
    </w:p>
    <w:p>
      <w:pPr>
        <w:spacing w:after="0" w:line="165" w:lineRule="exact"/>
        <w:rPr>
          <w:rFonts w:ascii="Arial" w:cs="Arial" w:eastAsia="Arial" w:hAnsi="Arial"/>
          <w:sz w:val="17"/>
          <w:szCs w:val="17"/>
          <w:color w:val="auto"/>
        </w:rPr>
      </w:pPr>
    </w:p>
    <w:p>
      <w:pPr>
        <w:ind w:left="1560" w:right="100" w:hanging="515"/>
        <w:spacing w:after="0" w:line="308" w:lineRule="auto"/>
        <w:tabs>
          <w:tab w:leader="none" w:pos="1575"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12.5 (</w:t>
      </w:r>
      <w:r>
        <w:rPr>
          <w:rFonts w:ascii="Arial" w:cs="Arial" w:eastAsia="Arial" w:hAnsi="Arial"/>
          <w:sz w:val="17"/>
          <w:szCs w:val="17"/>
          <w:i w:val="1"/>
          <w:iCs w:val="1"/>
          <w:color w:val="auto"/>
        </w:rPr>
        <w:t>FATCA Information</w:t>
      </w:r>
      <w:r>
        <w:rPr>
          <w:rFonts w:ascii="Arial" w:cs="Arial" w:eastAsia="Arial" w:hAnsi="Arial"/>
          <w:sz w:val="17"/>
          <w:szCs w:val="17"/>
          <w:color w:val="auto"/>
        </w:rPr>
        <w:t>) and the Borrower or a Lender reasonably believes that the Agent will not be (or will have ceased to be) a FATCA Exempt Party on or after that FATCA Application Date;</w:t>
      </w:r>
    </w:p>
    <w:p>
      <w:pPr>
        <w:spacing w:after="0" w:line="146" w:lineRule="exact"/>
        <w:rPr>
          <w:rFonts w:ascii="Arial" w:cs="Arial" w:eastAsia="Arial" w:hAnsi="Arial"/>
          <w:sz w:val="17"/>
          <w:szCs w:val="17"/>
          <w:color w:val="auto"/>
        </w:rPr>
      </w:pPr>
    </w:p>
    <w:p>
      <w:pPr>
        <w:ind w:left="1560" w:right="100" w:hanging="515"/>
        <w:spacing w:after="0" w:line="277" w:lineRule="auto"/>
        <w:tabs>
          <w:tab w:leader="none" w:pos="1585"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2" w:name="page363"/>
    <w:bookmarkEnd w:id="362"/>
    <w:p>
      <w:pPr>
        <w:ind w:left="1560" w:right="100" w:hanging="515"/>
        <w:spacing w:after="0" w:line="277" w:lineRule="auto"/>
        <w:tabs>
          <w:tab w:leader="none" w:pos="159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70" w:lineRule="exact"/>
        <w:rPr>
          <w:sz w:val="20"/>
          <w:szCs w:val="20"/>
          <w:color w:val="auto"/>
        </w:rPr>
      </w:pPr>
    </w:p>
    <w:p>
      <w:pPr>
        <w:ind w:left="1020" w:right="40"/>
        <w:spacing w:after="0" w:line="308" w:lineRule="auto"/>
        <w:rPr>
          <w:sz w:val="20"/>
          <w:szCs w:val="20"/>
          <w:color w:val="auto"/>
        </w:rPr>
      </w:pPr>
      <w:r>
        <w:rPr>
          <w:rFonts w:ascii="Arial" w:cs="Arial" w:eastAsia="Arial" w:hAnsi="Arial"/>
          <w:sz w:val="17"/>
          <w:szCs w:val="17"/>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32.13 Replacement of the Agent</w:t>
      </w:r>
    </w:p>
    <w:p>
      <w:pPr>
        <w:spacing w:after="0" w:line="229" w:lineRule="exact"/>
        <w:rPr>
          <w:sz w:val="20"/>
          <w:szCs w:val="20"/>
          <w:color w:val="auto"/>
        </w:rPr>
      </w:pPr>
    </w:p>
    <w:p>
      <w:pPr>
        <w:jc w:val="both"/>
        <w:ind w:left="1020" w:right="440" w:hanging="506"/>
        <w:spacing w:after="0" w:line="342" w:lineRule="auto"/>
        <w:tabs>
          <w:tab w:leader="none" w:pos="1011"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w:t>
      </w:r>
    </w:p>
    <w:p>
      <w:pPr>
        <w:spacing w:after="0" w:line="123" w:lineRule="exact"/>
        <w:rPr>
          <w:rFonts w:ascii="Arial" w:cs="Arial" w:eastAsia="Arial" w:hAnsi="Arial"/>
          <w:sz w:val="16"/>
          <w:szCs w:val="16"/>
          <w:color w:val="auto"/>
        </w:rPr>
      </w:pPr>
    </w:p>
    <w:p>
      <w:pPr>
        <w:ind w:left="1020" w:right="40" w:hanging="506"/>
        <w:spacing w:after="0" w:line="263" w:lineRule="auto"/>
        <w:tabs>
          <w:tab w:leader="none" w:pos="1021"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83" w:lineRule="exact"/>
        <w:rPr>
          <w:rFonts w:ascii="Arial" w:cs="Arial" w:eastAsia="Arial" w:hAnsi="Arial"/>
          <w:sz w:val="18"/>
          <w:szCs w:val="18"/>
          <w:color w:val="auto"/>
        </w:rPr>
      </w:pPr>
    </w:p>
    <w:p>
      <w:pPr>
        <w:ind w:left="1020" w:hanging="506"/>
        <w:spacing w:after="0" w:line="259" w:lineRule="auto"/>
        <w:tabs>
          <w:tab w:leader="none" w:pos="10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32.13(b)) (and any agency fees for the account of the retiring Agent shall cease to accrue from (and shall be payable on) that date).</w:t>
      </w:r>
    </w:p>
    <w:p>
      <w:pPr>
        <w:spacing w:after="0" w:line="186" w:lineRule="exact"/>
        <w:rPr>
          <w:rFonts w:ascii="Arial" w:cs="Arial" w:eastAsia="Arial" w:hAnsi="Arial"/>
          <w:sz w:val="18"/>
          <w:szCs w:val="18"/>
          <w:color w:val="auto"/>
        </w:rPr>
      </w:pPr>
    </w:p>
    <w:p>
      <w:pPr>
        <w:ind w:left="1020" w:right="100" w:hanging="506"/>
        <w:spacing w:after="0" w:line="277" w:lineRule="auto"/>
        <w:tabs>
          <w:tab w:leader="none" w:pos="1021"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32.14 Confidentiality</w:t>
      </w:r>
    </w:p>
    <w:p>
      <w:pPr>
        <w:spacing w:after="0" w:line="229" w:lineRule="exact"/>
        <w:rPr>
          <w:sz w:val="20"/>
          <w:szCs w:val="20"/>
          <w:color w:val="auto"/>
        </w:rPr>
      </w:pPr>
    </w:p>
    <w:p>
      <w:pPr>
        <w:ind w:left="1020" w:right="100" w:hanging="506"/>
        <w:spacing w:after="0" w:line="263" w:lineRule="auto"/>
        <w:tabs>
          <w:tab w:leader="none" w:pos="1011"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83" w:lineRule="exact"/>
        <w:rPr>
          <w:rFonts w:ascii="Arial" w:cs="Arial" w:eastAsia="Arial" w:hAnsi="Arial"/>
          <w:sz w:val="18"/>
          <w:szCs w:val="18"/>
          <w:color w:val="auto"/>
        </w:rPr>
      </w:pPr>
    </w:p>
    <w:p>
      <w:pPr>
        <w:ind w:left="1020" w:right="20" w:hanging="506"/>
        <w:spacing w:after="0" w:line="277" w:lineRule="auto"/>
        <w:tabs>
          <w:tab w:leader="none" w:pos="1021"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0" w:lineRule="exact"/>
        <w:rPr>
          <w:rFonts w:ascii="Arial" w:cs="Arial" w:eastAsia="Arial" w:hAnsi="Arial"/>
          <w:sz w:val="18"/>
          <w:szCs w:val="18"/>
          <w:color w:val="auto"/>
        </w:rPr>
      </w:pPr>
    </w:p>
    <w:p>
      <w:pPr>
        <w:ind w:left="1020" w:right="200" w:hanging="506"/>
        <w:spacing w:after="0" w:line="263" w:lineRule="auto"/>
        <w:tabs>
          <w:tab w:leader="none" w:pos="102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the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32.15 Relationship with the Lenders and Hedging Providers</w:t>
      </w:r>
    </w:p>
    <w:p>
      <w:pPr>
        <w:spacing w:after="0" w:line="229" w:lineRule="exact"/>
        <w:rPr>
          <w:sz w:val="20"/>
          <w:szCs w:val="20"/>
          <w:color w:val="auto"/>
        </w:rPr>
      </w:pPr>
    </w:p>
    <w:p>
      <w:pPr>
        <w:jc w:val="both"/>
        <w:ind w:left="1020" w:right="400" w:hanging="506"/>
        <w:spacing w:after="0" w:line="263" w:lineRule="auto"/>
        <w:tabs>
          <w:tab w:leader="none" w:pos="1011" w:val="left"/>
        </w:tabs>
        <w:numPr>
          <w:ilvl w:val="0"/>
          <w:numId w:val="477"/>
        </w:numPr>
        <w:rPr>
          <w:rFonts w:ascii="Arial" w:cs="Arial" w:eastAsia="Arial" w:hAnsi="Arial"/>
          <w:sz w:val="18"/>
          <w:szCs w:val="18"/>
          <w:color w:val="auto"/>
        </w:rPr>
      </w:pPr>
      <w:r>
        <w:rPr>
          <w:rFonts w:ascii="Arial" w:cs="Arial" w:eastAsia="Arial" w:hAnsi="Arial"/>
          <w:sz w:val="18"/>
          <w:szCs w:val="18"/>
          <w:color w:val="auto"/>
        </w:rPr>
        <w:t>Subject to clause 30.8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or as a Hedging Provider at the opening of business (in the place of the Agent’s principal office as notified to the Finance Parties from time to time) as a Lender or as a Hedging Provider (as the case may be) acting through its Facility Office:</w:t>
      </w:r>
    </w:p>
    <w:p>
      <w:pPr>
        <w:spacing w:after="0" w:line="183" w:lineRule="exact"/>
        <w:rPr>
          <w:rFonts w:ascii="Arial" w:cs="Arial" w:eastAsia="Arial" w:hAnsi="Arial"/>
          <w:sz w:val="18"/>
          <w:szCs w:val="18"/>
          <w:color w:val="auto"/>
        </w:rPr>
      </w:pPr>
    </w:p>
    <w:p>
      <w:pPr>
        <w:ind w:left="1560" w:hanging="515"/>
        <w:spacing w:after="0"/>
        <w:tabs>
          <w:tab w:leader="none" w:pos="156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25" w:lineRule="exact"/>
        <w:rPr>
          <w:rFonts w:ascii="Arial" w:cs="Arial" w:eastAsia="Arial" w:hAnsi="Arial"/>
          <w:sz w:val="18"/>
          <w:szCs w:val="18"/>
          <w:color w:val="auto"/>
        </w:rPr>
      </w:pPr>
    </w:p>
    <w:p>
      <w:pPr>
        <w:ind w:left="1560" w:right="220" w:hanging="515"/>
        <w:spacing w:after="0" w:line="277" w:lineRule="auto"/>
        <w:tabs>
          <w:tab w:leader="none" w:pos="1585"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63" w:name="page364"/>
    <w:bookmarkEnd w:id="363"/>
    <w:p>
      <w:pPr>
        <w:ind w:left="1020" w:right="2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or (as the case may be) Hedging Provider to the contrary in accordance with the terms of this Agreement.</w:t>
      </w:r>
    </w:p>
    <w:p>
      <w:pPr>
        <w:spacing w:after="0" w:line="170" w:lineRule="exact"/>
        <w:rPr>
          <w:sz w:val="20"/>
          <w:szCs w:val="20"/>
          <w:color w:val="auto"/>
        </w:rPr>
      </w:pPr>
    </w:p>
    <w:p>
      <w:pPr>
        <w:ind w:left="1020" w:right="20" w:hanging="506"/>
        <w:spacing w:after="0" w:line="270" w:lineRule="auto"/>
        <w:tabs>
          <w:tab w:leader="none" w:pos="1021" w:val="left"/>
        </w:tabs>
        <w:numPr>
          <w:ilvl w:val="0"/>
          <w:numId w:val="478"/>
        </w:numPr>
        <w:rPr>
          <w:rFonts w:ascii="Arial" w:cs="Arial" w:eastAsia="Arial" w:hAnsi="Arial"/>
          <w:sz w:val="17"/>
          <w:szCs w:val="17"/>
          <w:color w:val="auto"/>
        </w:rPr>
      </w:pPr>
      <w:r>
        <w:rPr>
          <w:rFonts w:ascii="Arial" w:cs="Arial" w:eastAsia="Arial" w:hAnsi="Arial"/>
          <w:sz w:val="17"/>
          <w:szCs w:val="17"/>
          <w:color w:val="auto"/>
        </w:rPr>
        <w:t>Any Lender or a Hedging Provider may by notice to the Agent appoint a person to receive on its behalf all notices, communications, information and documents to be made or despatched to that Lender or that Hedging Provider or (as the case may be) under the Finance Documents. Such notice shall contain the address and (where communication by electronic mail or other electronic means is permitted under clause 37.5 (</w:t>
      </w:r>
      <w:r>
        <w:rPr>
          <w:rFonts w:ascii="Arial" w:cs="Arial" w:eastAsia="Arial" w:hAnsi="Arial"/>
          <w:sz w:val="17"/>
          <w:szCs w:val="17"/>
          <w:i w:val="1"/>
          <w:iCs w:val="1"/>
          <w:color w:val="auto"/>
        </w:rPr>
        <w:t>Electronic communication</w:t>
      </w:r>
      <w:r>
        <w:rPr>
          <w:rFonts w:ascii="Arial" w:cs="Arial" w:eastAsia="Arial" w:hAnsi="Arial"/>
          <w:sz w:val="17"/>
          <w:szCs w:val="17"/>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or (as the case may be) Hedging Provider for the purposes of clause 37.2 (</w:t>
      </w:r>
      <w:r>
        <w:rPr>
          <w:rFonts w:ascii="Arial" w:cs="Arial" w:eastAsia="Arial" w:hAnsi="Arial"/>
          <w:sz w:val="17"/>
          <w:szCs w:val="17"/>
          <w:i w:val="1"/>
          <w:iCs w:val="1"/>
          <w:color w:val="auto"/>
        </w:rPr>
        <w:t>Addresses</w:t>
      </w:r>
      <w:r>
        <w:rPr>
          <w:rFonts w:ascii="Arial" w:cs="Arial" w:eastAsia="Arial" w:hAnsi="Arial"/>
          <w:sz w:val="17"/>
          <w:szCs w:val="17"/>
          <w:color w:val="auto"/>
        </w:rPr>
        <w:t>) and clause 37.5 (Electronic communication) and the Agent shall be entitled to treat such person as the person entitled to receive all such notices, communications, information and documents as though that person were that Lender or (as the case may be) Hedging Provider.</w:t>
      </w:r>
    </w:p>
    <w:p>
      <w:pPr>
        <w:spacing w:after="0" w:line="180" w:lineRule="exact"/>
        <w:rPr>
          <w:rFonts w:ascii="Arial" w:cs="Arial" w:eastAsia="Arial" w:hAnsi="Arial"/>
          <w:sz w:val="17"/>
          <w:szCs w:val="17"/>
          <w:color w:val="auto"/>
        </w:rPr>
      </w:pPr>
    </w:p>
    <w:p>
      <w:pPr>
        <w:ind w:left="1020" w:right="20" w:hanging="506"/>
        <w:spacing w:after="0" w:line="277" w:lineRule="auto"/>
        <w:tabs>
          <w:tab w:leader="none" w:pos="10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225" w:lineRule="exact"/>
        <w:rPr>
          <w:rFonts w:ascii="Arial" w:cs="Arial" w:eastAsia="Arial" w:hAnsi="Arial"/>
          <w:sz w:val="18"/>
          <w:szCs w:val="18"/>
          <w:color w:val="auto"/>
        </w:rPr>
      </w:pPr>
    </w:p>
    <w:p>
      <w:pPr>
        <w:ind w:left="1020" w:right="120" w:hanging="506"/>
        <w:spacing w:after="0" w:line="277" w:lineRule="auto"/>
        <w:tabs>
          <w:tab w:leader="none" w:pos="102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Agent shall not be under any obligation to act as agent or otherwise on behalf of any Hedging Provider except as expressly provided in, and for the purposes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32.16 Credit appraisal by the Lenders</w:t>
      </w:r>
    </w:p>
    <w:p>
      <w:pPr>
        <w:spacing w:after="0" w:line="229" w:lineRule="exact"/>
        <w:rPr>
          <w:sz w:val="20"/>
          <w:szCs w:val="20"/>
          <w:color w:val="auto"/>
        </w:rPr>
      </w:pPr>
    </w:p>
    <w:p>
      <w:pPr>
        <w:jc w:val="both"/>
        <w:ind w:left="520" w:right="220"/>
        <w:spacing w:after="0" w:line="286" w:lineRule="auto"/>
        <w:rPr>
          <w:sz w:val="20"/>
          <w:szCs w:val="20"/>
          <w:color w:val="auto"/>
        </w:rPr>
      </w:pPr>
      <w:r>
        <w:rPr>
          <w:rFonts w:ascii="Arial" w:cs="Arial" w:eastAsia="Arial" w:hAnsi="Arial"/>
          <w:sz w:val="17"/>
          <w:szCs w:val="17"/>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165" w:lineRule="exact"/>
        <w:rPr>
          <w:sz w:val="20"/>
          <w:szCs w:val="20"/>
          <w:color w:val="auto"/>
        </w:rPr>
      </w:pPr>
    </w:p>
    <w:p>
      <w:pPr>
        <w:ind w:left="1020" w:hanging="506"/>
        <w:spacing w:after="0"/>
        <w:tabs>
          <w:tab w:leader="none" w:pos="10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25" w:lineRule="exact"/>
        <w:rPr>
          <w:rFonts w:ascii="Arial" w:cs="Arial" w:eastAsia="Arial" w:hAnsi="Arial"/>
          <w:sz w:val="18"/>
          <w:szCs w:val="18"/>
          <w:color w:val="auto"/>
        </w:rPr>
      </w:pPr>
    </w:p>
    <w:p>
      <w:pPr>
        <w:ind w:left="1020" w:right="200" w:hanging="506"/>
        <w:spacing w:after="0" w:line="263" w:lineRule="auto"/>
        <w:tabs>
          <w:tab w:leader="none" w:pos="102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or any Charter Document;</w:t>
      </w:r>
    </w:p>
    <w:p>
      <w:pPr>
        <w:spacing w:after="0" w:line="183" w:lineRule="exact"/>
        <w:rPr>
          <w:rFonts w:ascii="Arial" w:cs="Arial" w:eastAsia="Arial" w:hAnsi="Arial"/>
          <w:sz w:val="18"/>
          <w:szCs w:val="18"/>
          <w:color w:val="auto"/>
        </w:rPr>
      </w:pPr>
    </w:p>
    <w:p>
      <w:pPr>
        <w:ind w:left="1020" w:hanging="506"/>
        <w:spacing w:after="0"/>
        <w:tabs>
          <w:tab w:leader="none" w:pos="10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25" w:lineRule="exact"/>
        <w:rPr>
          <w:rFonts w:ascii="Arial" w:cs="Arial" w:eastAsia="Arial" w:hAnsi="Arial"/>
          <w:sz w:val="18"/>
          <w:szCs w:val="18"/>
          <w:color w:val="auto"/>
        </w:rPr>
      </w:pPr>
    </w:p>
    <w:p>
      <w:pPr>
        <w:ind w:left="1020" w:right="60" w:hanging="506"/>
        <w:spacing w:after="0" w:line="311" w:lineRule="auto"/>
        <w:tabs>
          <w:tab w:leader="none" w:pos="1021" w:val="left"/>
        </w:tabs>
        <w:numPr>
          <w:ilvl w:val="0"/>
          <w:numId w:val="479"/>
        </w:numPr>
        <w:rPr>
          <w:rFonts w:ascii="Arial" w:cs="Arial" w:eastAsia="Arial" w:hAnsi="Arial"/>
          <w:sz w:val="16"/>
          <w:szCs w:val="16"/>
          <w:color w:val="auto"/>
        </w:rPr>
      </w:pPr>
      <w:r>
        <w:rPr>
          <w:rFonts w:ascii="Arial" w:cs="Arial" w:eastAsia="Arial" w:hAnsi="Arial"/>
          <w:sz w:val="16"/>
          <w:szCs w:val="16"/>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48" w:lineRule="exact"/>
        <w:rPr>
          <w:rFonts w:ascii="Arial" w:cs="Arial" w:eastAsia="Arial" w:hAnsi="Arial"/>
          <w:sz w:val="16"/>
          <w:szCs w:val="16"/>
          <w:color w:val="auto"/>
        </w:rPr>
      </w:pPr>
    </w:p>
    <w:p>
      <w:pPr>
        <w:ind w:left="1020" w:hanging="506"/>
        <w:spacing w:after="0" w:line="259" w:lineRule="auto"/>
        <w:tabs>
          <w:tab w:leader="none" w:pos="102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4" w:name="page365"/>
    <w:bookmarkEnd w:id="364"/>
    <w:p>
      <w:pPr>
        <w:spacing w:after="0" w:line="5" w:lineRule="exact"/>
        <w:rPr>
          <w:sz w:val="20"/>
          <w:szCs w:val="20"/>
          <w:color w:val="auto"/>
        </w:rPr>
      </w:pPr>
    </w:p>
    <w:p>
      <w:pPr>
        <w:ind w:left="1020" w:right="40" w:hanging="506"/>
        <w:spacing w:after="0" w:line="277" w:lineRule="auto"/>
        <w:tabs>
          <w:tab w:leader="none" w:pos="101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32.17 Agent’s management time and additional remuneration</w:t>
      </w:r>
    </w:p>
    <w:p>
      <w:pPr>
        <w:spacing w:after="0" w:line="229" w:lineRule="exact"/>
        <w:rPr>
          <w:sz w:val="20"/>
          <w:szCs w:val="20"/>
          <w:color w:val="auto"/>
        </w:rPr>
      </w:pPr>
    </w:p>
    <w:p>
      <w:pPr>
        <w:ind w:left="1020" w:hanging="506"/>
        <w:spacing w:after="0"/>
        <w:tabs>
          <w:tab w:leader="none" w:pos="102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Any amount payable to the Agent under clause 14.3 (</w:t>
      </w:r>
      <w:r>
        <w:rPr>
          <w:rFonts w:ascii="Arial" w:cs="Arial" w:eastAsia="Arial" w:hAnsi="Arial"/>
          <w:sz w:val="17"/>
          <w:szCs w:val="17"/>
          <w:i w:val="1"/>
          <w:iCs w:val="1"/>
          <w:color w:val="auto"/>
        </w:rPr>
        <w:t>Indemnity to the Agent and Security Agent</w:t>
      </w:r>
      <w:r>
        <w:rPr>
          <w:rFonts w:ascii="Arial" w:cs="Arial" w:eastAsia="Arial" w:hAnsi="Arial"/>
          <w:sz w:val="17"/>
          <w:szCs w:val="17"/>
          <w:color w:val="auto"/>
        </w:rPr>
        <w:t>),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and</w:t>
      </w:r>
    </w:p>
    <w:p>
      <w:pPr>
        <w:spacing w:after="0" w:line="34" w:lineRule="exact"/>
        <w:rPr>
          <w:rFonts w:ascii="Arial" w:cs="Arial" w:eastAsia="Arial" w:hAnsi="Arial"/>
          <w:sz w:val="17"/>
          <w:szCs w:val="17"/>
          <w:color w:val="auto"/>
        </w:rPr>
      </w:pPr>
    </w:p>
    <w:p>
      <w:pPr>
        <w:ind w:left="1020"/>
        <w:spacing w:after="0" w:line="253" w:lineRule="auto"/>
        <w:rPr>
          <w:rFonts w:ascii="Arial" w:cs="Arial" w:eastAsia="Arial" w:hAnsi="Arial"/>
          <w:sz w:val="17"/>
          <w:szCs w:val="17"/>
          <w:color w:val="auto"/>
        </w:rPr>
      </w:pPr>
      <w:r>
        <w:rPr>
          <w:rFonts w:ascii="Arial" w:cs="Arial" w:eastAsia="Arial" w:hAnsi="Arial"/>
          <w:sz w:val="18"/>
          <w:szCs w:val="18"/>
          <w:color w:val="auto"/>
        </w:rPr>
        <w:t>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 of clause 32.21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clauses to Security Agent</w:t>
      </w:r>
      <w:r>
        <w:rPr>
          <w:rFonts w:ascii="Arial" w:cs="Arial" w:eastAsia="Arial" w:hAnsi="Arial"/>
          <w:sz w:val="18"/>
          <w:szCs w:val="18"/>
          <w:color w:val="auto"/>
        </w:rPr>
        <w:t>)) shall include the cost of utilising the Agent’s management time or other resources and will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basis of such reasonable daily or hourly rates as the Agent may notify to the Borrower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92" w:lineRule="exact"/>
        <w:rPr>
          <w:rFonts w:ascii="Arial" w:cs="Arial" w:eastAsia="Arial" w:hAnsi="Arial"/>
          <w:sz w:val="17"/>
          <w:szCs w:val="17"/>
          <w:color w:val="auto"/>
        </w:rPr>
      </w:pPr>
    </w:p>
    <w:p>
      <w:pPr>
        <w:ind w:left="1020" w:hanging="506"/>
        <w:spacing w:after="0"/>
        <w:tabs>
          <w:tab w:leader="none" w:pos="102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25" w:lineRule="exact"/>
        <w:rPr>
          <w:rFonts w:ascii="Arial" w:cs="Arial" w:eastAsia="Arial" w:hAnsi="Arial"/>
          <w:sz w:val="18"/>
          <w:szCs w:val="18"/>
          <w:color w:val="auto"/>
        </w:rPr>
      </w:pPr>
    </w:p>
    <w:p>
      <w:pPr>
        <w:ind w:left="1560" w:hanging="515"/>
        <w:spacing w:after="0"/>
        <w:tabs>
          <w:tab w:leader="none" w:pos="156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 Default;</w:t>
      </w:r>
    </w:p>
    <w:p>
      <w:pPr>
        <w:spacing w:after="0" w:line="225" w:lineRule="exact"/>
        <w:rPr>
          <w:rFonts w:ascii="Arial" w:cs="Arial" w:eastAsia="Arial" w:hAnsi="Arial"/>
          <w:sz w:val="18"/>
          <w:szCs w:val="18"/>
          <w:color w:val="auto"/>
        </w:rPr>
      </w:pPr>
    </w:p>
    <w:p>
      <w:pPr>
        <w:ind w:left="1560" w:right="200" w:hanging="515"/>
        <w:spacing w:after="0" w:line="308" w:lineRule="auto"/>
        <w:tabs>
          <w:tab w:leader="none" w:pos="1585" w:val="left"/>
        </w:tabs>
        <w:numPr>
          <w:ilvl w:val="1"/>
          <w:numId w:val="481"/>
        </w:numPr>
        <w:rPr>
          <w:rFonts w:ascii="Arial" w:cs="Arial" w:eastAsia="Arial" w:hAnsi="Arial"/>
          <w:sz w:val="17"/>
          <w:szCs w:val="17"/>
          <w:color w:val="auto"/>
        </w:rPr>
      </w:pPr>
      <w:r>
        <w:rPr>
          <w:rFonts w:ascii="Arial" w:cs="Arial" w:eastAsia="Arial" w:hAnsi="Arial"/>
          <w:sz w:val="17"/>
          <w:szCs w:val="17"/>
          <w:color w:val="auto"/>
        </w:rPr>
        <w:t>the Agent being requested by an Obligor or the Majority Lenders to undertake duties which the Agent and the Borrower agree to be of an exceptional nature or outside the scope of the normal duties of the Agent under the Finance Documents; or</w:t>
      </w:r>
    </w:p>
    <w:p>
      <w:pPr>
        <w:spacing w:after="0" w:line="146" w:lineRule="exact"/>
        <w:rPr>
          <w:rFonts w:ascii="Arial" w:cs="Arial" w:eastAsia="Arial" w:hAnsi="Arial"/>
          <w:sz w:val="17"/>
          <w:szCs w:val="17"/>
          <w:color w:val="auto"/>
        </w:rPr>
      </w:pPr>
    </w:p>
    <w:p>
      <w:pPr>
        <w:ind w:left="1580" w:hanging="535"/>
        <w:spacing w:after="0"/>
        <w:tabs>
          <w:tab w:leader="none" w:pos="158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Agent and the Borrower agreeing that it is otherwise appropriate in the circumstances,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Borrower shall pay to the Agent any additional remuneration that may be agreed between them or determined pursuant to clause 32.17(c).</w:t>
      </w:r>
    </w:p>
    <w:p>
      <w:pPr>
        <w:spacing w:after="0" w:line="248" w:lineRule="exact"/>
        <w:rPr>
          <w:sz w:val="20"/>
          <w:szCs w:val="20"/>
          <w:color w:val="auto"/>
        </w:rPr>
      </w:pPr>
    </w:p>
    <w:p>
      <w:pPr>
        <w:ind w:left="1020" w:hanging="506"/>
        <w:spacing w:after="0"/>
        <w:tabs>
          <w:tab w:leader="none" w:pos="10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If the Agent and the Borrower fails to agree upon the nature of the duties, or upon the additional remuneration referred to in</w:t>
      </w:r>
    </w:p>
    <w:p>
      <w:pPr>
        <w:spacing w:after="0" w:line="23" w:lineRule="exact"/>
        <w:rPr>
          <w:rFonts w:ascii="Arial" w:cs="Arial" w:eastAsia="Arial" w:hAnsi="Arial"/>
          <w:sz w:val="18"/>
          <w:szCs w:val="18"/>
          <w:color w:val="auto"/>
        </w:rPr>
      </w:pPr>
    </w:p>
    <w:p>
      <w:pPr>
        <w:ind w:left="1020" w:right="40"/>
        <w:spacing w:after="0" w:line="253" w:lineRule="auto"/>
        <w:rPr>
          <w:rFonts w:ascii="Arial" w:cs="Arial" w:eastAsia="Arial" w:hAnsi="Arial"/>
          <w:sz w:val="18"/>
          <w:szCs w:val="18"/>
          <w:color w:val="auto"/>
        </w:rPr>
      </w:pPr>
      <w:r>
        <w:rPr>
          <w:rFonts w:ascii="Arial" w:cs="Arial" w:eastAsia="Arial" w:hAnsi="Arial"/>
          <w:sz w:val="18"/>
          <w:szCs w:val="18"/>
          <w:color w:val="auto"/>
        </w:rPr>
        <w:t>clause 32.17(b) or whether additional remuneration is appropriate in the circumstances, any dispute shall be determined by an investment bank (acting as an expert and not as an arbitrator) selected by the Agent and approved by the Borrower or, failing approval, nominated (on the application of the Agent) by the President for the time being of the Law Society of England and Wales (the costs of the nomination and of the investment bank being payable by the Borrower) and the determination of any investment bank shall be final and binding upon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32.18 Deduction from amounts payable by the Agent</w:t>
      </w:r>
    </w:p>
    <w:p>
      <w:pPr>
        <w:spacing w:after="0" w:line="229"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32.19 Common parties</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32.20 Security Agent</w:t>
      </w:r>
    </w:p>
    <w:p>
      <w:pPr>
        <w:spacing w:after="0" w:line="229" w:lineRule="exact"/>
        <w:rPr>
          <w:sz w:val="20"/>
          <w:szCs w:val="20"/>
          <w:color w:val="auto"/>
        </w:rPr>
      </w:pPr>
    </w:p>
    <w:p>
      <w:pPr>
        <w:ind w:left="1020" w:right="160" w:hanging="506"/>
        <w:spacing w:after="0" w:line="277" w:lineRule="auto"/>
        <w:tabs>
          <w:tab w:leader="none" w:pos="1011"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other Finance Party appoints the Security Agent to act as its agent and (to the extent permitted under any applicable law) trustee under and in connection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0" w:right="180"/>
        <w:spacing w:after="0" w:line="277" w:lineRule="auto"/>
        <w:rPr>
          <w:sz w:val="20"/>
          <w:szCs w:val="20"/>
          <w:color w:val="auto"/>
        </w:rPr>
      </w:pPr>
      <w:r>
        <w:rPr>
          <w:rFonts w:ascii="Arial" w:cs="Arial" w:eastAsia="Arial" w:hAnsi="Arial"/>
          <w:sz w:val="18"/>
          <w:szCs w:val="18"/>
          <w:color w:val="auto"/>
        </w:rPr>
        <w:t>Security Documents and confirms that the Security Agent shall have a lien on the Security Documents and the proceeds of the enforcement of those Security Documents for all moneys payable to the beneficiaries of those Security Documents.</w:t>
      </w:r>
    </w:p>
    <w:p>
      <w:pPr>
        <w:spacing w:after="0" w:line="170" w:lineRule="exact"/>
        <w:rPr>
          <w:sz w:val="20"/>
          <w:szCs w:val="20"/>
          <w:color w:val="auto"/>
        </w:rPr>
      </w:pPr>
    </w:p>
    <w:p>
      <w:pPr>
        <w:ind w:left="1040" w:hanging="526"/>
        <w:spacing w:after="0"/>
        <w:tabs>
          <w:tab w:leader="none" w:pos="104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25" w:lineRule="exact"/>
        <w:rPr>
          <w:rFonts w:ascii="Arial" w:cs="Arial" w:eastAsia="Arial" w:hAnsi="Arial"/>
          <w:sz w:val="18"/>
          <w:szCs w:val="18"/>
          <w:color w:val="auto"/>
        </w:rPr>
      </w:pPr>
    </w:p>
    <w:p>
      <w:pPr>
        <w:ind w:left="1560" w:right="100" w:hanging="515"/>
        <w:spacing w:after="0" w:line="263" w:lineRule="auto"/>
        <w:tabs>
          <w:tab w:leader="none" w:pos="157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183" w:lineRule="exact"/>
        <w:rPr>
          <w:rFonts w:ascii="Arial" w:cs="Arial" w:eastAsia="Arial" w:hAnsi="Arial"/>
          <w:sz w:val="18"/>
          <w:szCs w:val="18"/>
          <w:color w:val="auto"/>
        </w:rPr>
      </w:pPr>
    </w:p>
    <w:p>
      <w:pPr>
        <w:ind w:left="1560" w:right="180" w:hanging="515"/>
        <w:spacing w:after="0" w:line="277" w:lineRule="auto"/>
        <w:tabs>
          <w:tab w:leader="none" w:pos="158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70" w:lineRule="exact"/>
        <w:rPr>
          <w:rFonts w:ascii="Arial" w:cs="Arial" w:eastAsia="Arial" w:hAnsi="Arial"/>
          <w:sz w:val="18"/>
          <w:szCs w:val="18"/>
          <w:color w:val="auto"/>
        </w:rPr>
      </w:pPr>
    </w:p>
    <w:p>
      <w:pPr>
        <w:ind w:left="1020" w:right="60" w:hanging="506"/>
        <w:spacing w:after="0" w:line="259" w:lineRule="auto"/>
        <w:tabs>
          <w:tab w:leader="none" w:pos="102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32.20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32.20 - 32.32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32.21 Application of certain clauses to Security Agent</w:t>
      </w:r>
    </w:p>
    <w:p>
      <w:pPr>
        <w:spacing w:after="0" w:line="229" w:lineRule="exact"/>
        <w:rPr>
          <w:sz w:val="20"/>
          <w:szCs w:val="20"/>
          <w:color w:val="auto"/>
        </w:rPr>
      </w:pPr>
    </w:p>
    <w:p>
      <w:pPr>
        <w:ind w:left="1020" w:hanging="506"/>
        <w:spacing w:after="0"/>
        <w:tabs>
          <w:tab w:leader="none" w:pos="102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Clauses 32.7 (</w:t>
      </w:r>
      <w:r>
        <w:rPr>
          <w:rFonts w:ascii="Arial" w:cs="Arial" w:eastAsia="Arial" w:hAnsi="Arial"/>
          <w:sz w:val="16"/>
          <w:szCs w:val="16"/>
          <w:i w:val="1"/>
          <w:iCs w:val="1"/>
          <w:color w:val="auto"/>
        </w:rPr>
        <w:t>Rights and discretions of the Agent</w:t>
      </w:r>
      <w:r>
        <w:rPr>
          <w:rFonts w:ascii="Arial" w:cs="Arial" w:eastAsia="Arial" w:hAnsi="Arial"/>
          <w:sz w:val="16"/>
          <w:szCs w:val="16"/>
          <w:color w:val="auto"/>
        </w:rPr>
        <w:t>), 32.8 (</w:t>
      </w:r>
      <w:r>
        <w:rPr>
          <w:rFonts w:ascii="Arial" w:cs="Arial" w:eastAsia="Arial" w:hAnsi="Arial"/>
          <w:sz w:val="16"/>
          <w:szCs w:val="16"/>
          <w:i w:val="1"/>
          <w:iCs w:val="1"/>
          <w:color w:val="auto"/>
        </w:rPr>
        <w:t>Responsibility for documentation and other matters</w:t>
      </w:r>
      <w:r>
        <w:rPr>
          <w:rFonts w:ascii="Arial" w:cs="Arial" w:eastAsia="Arial" w:hAnsi="Arial"/>
          <w:sz w:val="16"/>
          <w:szCs w:val="16"/>
          <w:color w:val="auto"/>
        </w:rPr>
        <w:t xml:space="preserve">), 32.9 </w:t>
      </w:r>
      <w:r>
        <w:rPr>
          <w:rFonts w:ascii="Arial" w:cs="Arial" w:eastAsia="Arial" w:hAnsi="Arial"/>
          <w:sz w:val="16"/>
          <w:szCs w:val="16"/>
          <w:i w:val="1"/>
          <w:iCs w:val="1"/>
          <w:color w:val="auto"/>
        </w:rPr>
        <w:t>(No duty to monitor)</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32.10 (</w:t>
      </w:r>
      <w:r>
        <w:rPr>
          <w:rFonts w:ascii="Arial" w:cs="Arial" w:eastAsia="Arial" w:hAnsi="Arial"/>
          <w:sz w:val="16"/>
          <w:szCs w:val="16"/>
          <w:i w:val="1"/>
          <w:iCs w:val="1"/>
          <w:color w:val="auto"/>
        </w:rPr>
        <w:t>Exclusion of liability</w:t>
      </w:r>
      <w:r>
        <w:rPr>
          <w:rFonts w:ascii="Arial" w:cs="Arial" w:eastAsia="Arial" w:hAnsi="Arial"/>
          <w:sz w:val="16"/>
          <w:szCs w:val="16"/>
          <w:color w:val="auto"/>
        </w:rPr>
        <w:t>), 32.11 (</w:t>
      </w:r>
      <w:r>
        <w:rPr>
          <w:rFonts w:ascii="Arial" w:cs="Arial" w:eastAsia="Arial" w:hAnsi="Arial"/>
          <w:sz w:val="16"/>
          <w:szCs w:val="16"/>
          <w:i w:val="1"/>
          <w:iCs w:val="1"/>
          <w:color w:val="auto"/>
        </w:rPr>
        <w:t>Lenders’ indemnity to the Agent</w:t>
      </w:r>
      <w:r>
        <w:rPr>
          <w:rFonts w:ascii="Arial" w:cs="Arial" w:eastAsia="Arial" w:hAnsi="Arial"/>
          <w:sz w:val="16"/>
          <w:szCs w:val="16"/>
          <w:color w:val="auto"/>
        </w:rPr>
        <w:t>), 32.12 (</w:t>
      </w:r>
      <w:r>
        <w:rPr>
          <w:rFonts w:ascii="Arial" w:cs="Arial" w:eastAsia="Arial" w:hAnsi="Arial"/>
          <w:sz w:val="16"/>
          <w:szCs w:val="16"/>
          <w:i w:val="1"/>
          <w:iCs w:val="1"/>
          <w:color w:val="auto"/>
        </w:rPr>
        <w:t>Resignation of the Agent</w:t>
      </w:r>
      <w:r>
        <w:rPr>
          <w:rFonts w:ascii="Arial" w:cs="Arial" w:eastAsia="Arial" w:hAnsi="Arial"/>
          <w:sz w:val="16"/>
          <w:szCs w:val="16"/>
          <w:color w:val="auto"/>
        </w:rPr>
        <w:t>), 32.13 (</w:t>
      </w:r>
      <w:r>
        <w:rPr>
          <w:rFonts w:ascii="Arial" w:cs="Arial" w:eastAsia="Arial" w:hAnsi="Arial"/>
          <w:sz w:val="16"/>
          <w:szCs w:val="16"/>
          <w:i w:val="1"/>
          <w:iCs w:val="1"/>
          <w:color w:val="auto"/>
        </w:rPr>
        <w:t>Replacement of the Agent</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jc w:val="both"/>
        <w:ind w:left="1020" w:right="40"/>
        <w:spacing w:after="0" w:line="302" w:lineRule="auto"/>
        <w:rPr>
          <w:rFonts w:ascii="Arial" w:cs="Arial" w:eastAsia="Arial" w:hAnsi="Arial"/>
          <w:sz w:val="16"/>
          <w:szCs w:val="16"/>
          <w:color w:val="auto"/>
        </w:rPr>
      </w:pPr>
      <w:r>
        <w:rPr>
          <w:rFonts w:ascii="Arial" w:cs="Arial" w:eastAsia="Arial" w:hAnsi="Arial"/>
          <w:sz w:val="16"/>
          <w:szCs w:val="16"/>
          <w:color w:val="auto"/>
        </w:rPr>
        <w:t>32.14 (</w:t>
      </w:r>
      <w:r>
        <w:rPr>
          <w:rFonts w:ascii="Arial" w:cs="Arial" w:eastAsia="Arial" w:hAnsi="Arial"/>
          <w:sz w:val="16"/>
          <w:szCs w:val="16"/>
          <w:i w:val="1"/>
          <w:iCs w:val="1"/>
          <w:color w:val="auto"/>
        </w:rPr>
        <w:t>Confidentiality</w:t>
      </w:r>
      <w:r>
        <w:rPr>
          <w:rFonts w:ascii="Arial" w:cs="Arial" w:eastAsia="Arial" w:hAnsi="Arial"/>
          <w:sz w:val="16"/>
          <w:szCs w:val="16"/>
          <w:color w:val="auto"/>
        </w:rPr>
        <w:t>), 32.15 (</w:t>
      </w:r>
      <w:r>
        <w:rPr>
          <w:rFonts w:ascii="Arial" w:cs="Arial" w:eastAsia="Arial" w:hAnsi="Arial"/>
          <w:sz w:val="16"/>
          <w:szCs w:val="16"/>
          <w:i w:val="1"/>
          <w:iCs w:val="1"/>
          <w:color w:val="auto"/>
        </w:rPr>
        <w:t>Relationship with the Lenders</w:t>
      </w:r>
      <w:r>
        <w:rPr>
          <w:rFonts w:ascii="Arial" w:cs="Arial" w:eastAsia="Arial" w:hAnsi="Arial"/>
          <w:sz w:val="16"/>
          <w:szCs w:val="16"/>
          <w:color w:val="auto"/>
        </w:rPr>
        <w:t>), 32.16 (</w:t>
      </w:r>
      <w:r>
        <w:rPr>
          <w:rFonts w:ascii="Arial" w:cs="Arial" w:eastAsia="Arial" w:hAnsi="Arial"/>
          <w:sz w:val="16"/>
          <w:szCs w:val="16"/>
          <w:i w:val="1"/>
          <w:iCs w:val="1"/>
          <w:color w:val="auto"/>
        </w:rPr>
        <w:t>Credit appraisal by the Lenders</w:t>
      </w:r>
      <w:r>
        <w:rPr>
          <w:rFonts w:ascii="Arial" w:cs="Arial" w:eastAsia="Arial" w:hAnsi="Arial"/>
          <w:sz w:val="16"/>
          <w:szCs w:val="16"/>
          <w:color w:val="auto"/>
        </w:rPr>
        <w:t xml:space="preserve">), 32.17 </w:t>
      </w:r>
      <w:r>
        <w:rPr>
          <w:rFonts w:ascii="Arial" w:cs="Arial" w:eastAsia="Arial" w:hAnsi="Arial"/>
          <w:sz w:val="16"/>
          <w:szCs w:val="16"/>
          <w:i w:val="1"/>
          <w:iCs w:val="1"/>
          <w:color w:val="auto"/>
        </w:rPr>
        <w:t>(Agent’s management time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additional remuneration) </w:t>
      </w:r>
      <w:r>
        <w:rPr>
          <w:rFonts w:ascii="Arial" w:cs="Arial" w:eastAsia="Arial" w:hAnsi="Arial"/>
          <w:sz w:val="16"/>
          <w:szCs w:val="16"/>
          <w:color w:val="auto"/>
        </w:rPr>
        <w:t>and 32.18 (</w:t>
      </w:r>
      <w:r>
        <w:rPr>
          <w:rFonts w:ascii="Arial" w:cs="Arial" w:eastAsia="Arial" w:hAnsi="Arial"/>
          <w:sz w:val="16"/>
          <w:szCs w:val="16"/>
          <w:i w:val="1"/>
          <w:iCs w:val="1"/>
          <w:color w:val="auto"/>
        </w:rPr>
        <w:t>Deduction from amounts payable by the Agent</w:t>
      </w:r>
      <w:r>
        <w:rPr>
          <w:rFonts w:ascii="Arial" w:cs="Arial" w:eastAsia="Arial" w:hAnsi="Arial"/>
          <w:sz w:val="16"/>
          <w:szCs w:val="16"/>
          <w:color w:val="auto"/>
        </w:rPr>
        <w:t>) shall each extend so as to apply to the Security Agent in</w:t>
      </w:r>
      <w:r>
        <w:rPr>
          <w:rFonts w:ascii="Arial" w:cs="Arial" w:eastAsia="Arial" w:hAnsi="Arial"/>
          <w:sz w:val="16"/>
          <w:szCs w:val="16"/>
          <w:i w:val="1"/>
          <w:iCs w:val="1"/>
          <w:color w:val="auto"/>
        </w:rPr>
        <w:t xml:space="preserve"> </w:t>
      </w:r>
      <w:r>
        <w:rPr>
          <w:rFonts w:ascii="Arial" w:cs="Arial" w:eastAsia="Arial" w:hAnsi="Arial"/>
          <w:sz w:val="16"/>
          <w:szCs w:val="16"/>
          <w:color w:val="auto"/>
        </w:rPr>
        <w:t>its capacity as such and for that purpose each reference to the “Agent” in these clauses shall extend to include in addition a reference to the</w:t>
      </w:r>
    </w:p>
    <w:p>
      <w:pPr>
        <w:sectPr>
          <w:pgSz w:w="11900" w:h="16843" w:orient="portrait"/>
          <w:cols w:equalWidth="0" w:num="1">
            <w:col w:w="11240"/>
          </w:cols>
          <w:pgMar w:left="320" w:top="341" w:right="339" w:bottom="0" w:gutter="0" w:footer="0" w:header="0"/>
        </w:sectPr>
      </w:pPr>
    </w:p>
    <w:bookmarkStart w:id="365" w:name="page366"/>
    <w:bookmarkEnd w:id="365"/>
    <w:p>
      <w:pPr>
        <w:ind w:left="506" w:right="240"/>
        <w:spacing w:after="0" w:line="277" w:lineRule="auto"/>
        <w:rPr>
          <w:sz w:val="20"/>
          <w:szCs w:val="20"/>
          <w:color w:val="auto"/>
        </w:rPr>
      </w:pPr>
      <w:r>
        <w:rPr>
          <w:rFonts w:ascii="Arial" w:cs="Arial" w:eastAsia="Arial" w:hAnsi="Arial"/>
          <w:sz w:val="18"/>
          <w:szCs w:val="18"/>
          <w:color w:val="auto"/>
        </w:rPr>
        <w:t>“Security Agent” in its capacity as such and, in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70" w:lineRule="exact"/>
        <w:rPr>
          <w:sz w:val="20"/>
          <w:szCs w:val="20"/>
          <w:color w:val="auto"/>
        </w:rPr>
      </w:pPr>
    </w:p>
    <w:p>
      <w:pPr>
        <w:ind w:left="506" w:right="120" w:hanging="506"/>
        <w:spacing w:after="0" w:line="277" w:lineRule="auto"/>
        <w:tabs>
          <w:tab w:leader="none" w:pos="507" w:val="left"/>
        </w:tabs>
        <w:numPr>
          <w:ilvl w:val="0"/>
          <w:numId w:val="486"/>
        </w:numPr>
        <w:rPr>
          <w:rFonts w:ascii="Arial" w:cs="Arial" w:eastAsia="Arial" w:hAnsi="Arial"/>
          <w:sz w:val="18"/>
          <w:szCs w:val="18"/>
          <w:color w:val="auto"/>
        </w:rPr>
      </w:pPr>
      <w:r>
        <w:rPr>
          <w:rFonts w:ascii="Arial" w:cs="Arial" w:eastAsia="Arial" w:hAnsi="Arial"/>
          <w:sz w:val="18"/>
          <w:szCs w:val="18"/>
          <w:color w:val="auto"/>
        </w:rPr>
        <w:t>In addition, clause 32.12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32.21(a), have the following additional sub-clause inserted after them:</w:t>
      </w:r>
    </w:p>
    <w:p>
      <w:pPr>
        <w:spacing w:after="0" w:line="170" w:lineRule="exact"/>
        <w:rPr>
          <w:rFonts w:ascii="Arial" w:cs="Arial" w:eastAsia="Arial" w:hAnsi="Arial"/>
          <w:sz w:val="18"/>
          <w:szCs w:val="18"/>
          <w:color w:val="auto"/>
        </w:rPr>
      </w:pPr>
    </w:p>
    <w:p>
      <w:pPr>
        <w:ind w:left="506"/>
        <w:spacing w:after="0" w:line="254" w:lineRule="auto"/>
        <w:rPr>
          <w:rFonts w:ascii="Arial" w:cs="Arial" w:eastAsia="Arial" w:hAnsi="Arial"/>
          <w:sz w:val="18"/>
          <w:szCs w:val="18"/>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 (except where the Security Agent is retiring under clause 32.12(a) as extended to it by clause 32.21(a), in which case such costs shall be borne by the Lenders (in proportion to its share of the Total Commitments or, if the Total Commitments are then zero, to its share of the Total Commitments immediately prior to their reduction to zero)).”.</w:t>
      </w:r>
    </w:p>
    <w:p>
      <w:pPr>
        <w:spacing w:after="0" w:line="194" w:lineRule="exact"/>
        <w:rPr>
          <w:rFonts w:ascii="Arial" w:cs="Arial" w:eastAsia="Arial" w:hAnsi="Arial"/>
          <w:sz w:val="18"/>
          <w:szCs w:val="18"/>
          <w:color w:val="auto"/>
        </w:rPr>
      </w:pPr>
    </w:p>
    <w:p>
      <w:pPr>
        <w:ind w:left="506" w:hanging="506"/>
        <w:spacing w:after="0"/>
        <w:tabs>
          <w:tab w:leader="none" w:pos="506" w:val="left"/>
        </w:tabs>
        <w:numPr>
          <w:ilvl w:val="0"/>
          <w:numId w:val="486"/>
        </w:numPr>
        <w:rPr>
          <w:rFonts w:ascii="Arial" w:cs="Arial" w:eastAsia="Arial" w:hAnsi="Arial"/>
          <w:sz w:val="18"/>
          <w:szCs w:val="18"/>
          <w:color w:val="auto"/>
        </w:rPr>
      </w:pPr>
      <w:r>
        <w:rPr>
          <w:rFonts w:ascii="Arial" w:cs="Arial" w:eastAsia="Arial" w:hAnsi="Arial"/>
          <w:sz w:val="18"/>
          <w:szCs w:val="18"/>
          <w:color w:val="auto"/>
        </w:rPr>
        <w:t>Clause 32.7(e) shall, for the purposes of its application to the Security Agent pursuant to clause 32.21(a), read as follows:</w:t>
      </w:r>
    </w:p>
    <w:p>
      <w:pPr>
        <w:spacing w:after="0" w:line="225" w:lineRule="exact"/>
        <w:rPr>
          <w:rFonts w:ascii="Arial" w:cs="Arial" w:eastAsia="Arial" w:hAnsi="Arial"/>
          <w:sz w:val="18"/>
          <w:szCs w:val="18"/>
          <w:color w:val="auto"/>
        </w:rPr>
      </w:pPr>
    </w:p>
    <w:p>
      <w:pPr>
        <w:jc w:val="both"/>
        <w:ind w:left="506" w:right="140"/>
        <w:spacing w:after="0" w:line="259"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6"/>
          </w:cols>
          <w:pgMar w:left="834" w:top="125" w:right="399" w:bottom="1440" w:gutter="0" w:footer="0" w:header="0"/>
        </w:sectPr>
      </w:pPr>
    </w:p>
    <w:bookmarkStart w:id="366" w:name="page367"/>
    <w:bookmarkEnd w:id="366"/>
    <w:p>
      <w:pPr>
        <w:ind w:left="1020" w:right="260" w:hanging="506"/>
        <w:spacing w:after="0" w:line="277" w:lineRule="auto"/>
        <w:tabs>
          <w:tab w:leader="none" w:pos="1021" w:val="left"/>
        </w:tabs>
        <w:numPr>
          <w:ilvl w:val="0"/>
          <w:numId w:val="487"/>
        </w:numPr>
        <w:rPr>
          <w:rFonts w:ascii="Arial" w:cs="Arial" w:eastAsia="Arial" w:hAnsi="Arial"/>
          <w:sz w:val="18"/>
          <w:szCs w:val="18"/>
          <w:color w:val="auto"/>
        </w:rPr>
      </w:pPr>
      <w:r>
        <w:rPr>
          <w:rFonts w:ascii="Arial" w:cs="Arial" w:eastAsia="Arial" w:hAnsi="Arial"/>
          <w:sz w:val="18"/>
          <w:szCs w:val="18"/>
          <w:color w:val="auto"/>
        </w:rPr>
        <w:t>Clause 32.10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32.21(a), include the following after sub clause 32.10(a)(iii)(B):</w:t>
      </w:r>
    </w:p>
    <w:p>
      <w:pPr>
        <w:spacing w:after="0" w:line="170" w:lineRule="exact"/>
        <w:rPr>
          <w:sz w:val="20"/>
          <w:szCs w:val="20"/>
          <w:color w:val="auto"/>
        </w:rPr>
      </w:pPr>
    </w:p>
    <w:p>
      <w:pPr>
        <w:jc w:val="center"/>
        <w:ind w:left="980"/>
        <w:spacing w:after="0"/>
        <w:tabs>
          <w:tab w:leader="none" w:pos="20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225" w:lineRule="exact"/>
        <w:rPr>
          <w:sz w:val="20"/>
          <w:szCs w:val="20"/>
          <w:color w:val="auto"/>
        </w:rPr>
      </w:pPr>
    </w:p>
    <w:p>
      <w:pPr>
        <w:ind w:left="1020" w:hanging="506"/>
        <w:spacing w:after="0" w:line="263" w:lineRule="auto"/>
        <w:tabs>
          <w:tab w:leader="none" w:pos="102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Clause 32.14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32.21(a), be read and construed as to refer to “its agency and trust department” instead of “its department, division or team directly responsible for the management of the Finance Documents”.</w:t>
      </w:r>
    </w:p>
    <w:p>
      <w:pPr>
        <w:spacing w:after="0" w:line="183" w:lineRule="exact"/>
        <w:rPr>
          <w:rFonts w:ascii="Arial" w:cs="Arial" w:eastAsia="Arial" w:hAnsi="Arial"/>
          <w:sz w:val="18"/>
          <w:szCs w:val="18"/>
          <w:color w:val="auto"/>
        </w:rPr>
      </w:pPr>
    </w:p>
    <w:p>
      <w:pPr>
        <w:ind w:left="1020" w:right="40" w:hanging="506"/>
        <w:spacing w:after="0" w:line="273" w:lineRule="auto"/>
        <w:tabs>
          <w:tab w:leader="none" w:pos="1018" w:val="left"/>
        </w:tabs>
        <w:numPr>
          <w:ilvl w:val="0"/>
          <w:numId w:val="488"/>
        </w:numPr>
        <w:rPr>
          <w:rFonts w:ascii="Arial" w:cs="Arial" w:eastAsia="Arial" w:hAnsi="Arial"/>
          <w:sz w:val="17"/>
          <w:szCs w:val="17"/>
          <w:color w:val="auto"/>
        </w:rPr>
      </w:pPr>
      <w:r>
        <w:rPr>
          <w:rFonts w:ascii="Arial" w:cs="Arial" w:eastAsia="Arial" w:hAnsi="Arial"/>
          <w:sz w:val="17"/>
          <w:szCs w:val="17"/>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177" w:lineRule="exact"/>
        <w:rPr>
          <w:rFonts w:ascii="Arial" w:cs="Arial" w:eastAsia="Arial" w:hAnsi="Arial"/>
          <w:sz w:val="17"/>
          <w:szCs w:val="17"/>
          <w:color w:val="auto"/>
        </w:rPr>
      </w:pPr>
    </w:p>
    <w:p>
      <w:pPr>
        <w:ind w:left="1020" w:hanging="506"/>
        <w:spacing w:after="0" w:line="273" w:lineRule="auto"/>
        <w:tabs>
          <w:tab w:leader="none" w:pos="1035"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 the agents and the other parties thereto are observing and performing all their respective obligations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32.22 Instructions to Security Agent</w:t>
      </w:r>
    </w:p>
    <w:p>
      <w:pPr>
        <w:spacing w:after="0" w:line="229" w:lineRule="exact"/>
        <w:rPr>
          <w:sz w:val="20"/>
          <w:szCs w:val="20"/>
          <w:color w:val="auto"/>
        </w:rPr>
      </w:pPr>
    </w:p>
    <w:p>
      <w:pPr>
        <w:ind w:left="1020" w:hanging="506"/>
        <w:spacing w:after="0"/>
        <w:tabs>
          <w:tab w:leader="none" w:pos="10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25" w:lineRule="exact"/>
        <w:rPr>
          <w:rFonts w:ascii="Arial" w:cs="Arial" w:eastAsia="Arial" w:hAnsi="Arial"/>
          <w:sz w:val="18"/>
          <w:szCs w:val="18"/>
          <w:color w:val="auto"/>
        </w:rPr>
      </w:pPr>
    </w:p>
    <w:p>
      <w:pPr>
        <w:ind w:left="1560" w:right="620" w:hanging="515"/>
        <w:spacing w:after="0" w:line="342" w:lineRule="auto"/>
        <w:tabs>
          <w:tab w:leader="none" w:pos="1575" w:val="left"/>
        </w:tabs>
        <w:numPr>
          <w:ilvl w:val="1"/>
          <w:numId w:val="489"/>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23" w:lineRule="exact"/>
        <w:rPr>
          <w:rFonts w:ascii="Arial" w:cs="Arial" w:eastAsia="Arial" w:hAnsi="Arial"/>
          <w:sz w:val="16"/>
          <w:szCs w:val="16"/>
          <w:color w:val="auto"/>
        </w:rPr>
      </w:pPr>
    </w:p>
    <w:p>
      <w:pPr>
        <w:ind w:left="1560" w:right="240" w:hanging="515"/>
        <w:spacing w:after="0" w:line="277" w:lineRule="auto"/>
        <w:tabs>
          <w:tab w:leader="none" w:pos="1585" w:val="left"/>
        </w:tabs>
        <w:numPr>
          <w:ilvl w:val="1"/>
          <w:numId w:val="489"/>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70" w:lineRule="exact"/>
        <w:rPr>
          <w:rFonts w:ascii="Arial" w:cs="Arial" w:eastAsia="Arial" w:hAnsi="Arial"/>
          <w:sz w:val="18"/>
          <w:szCs w:val="18"/>
          <w:color w:val="auto"/>
        </w:rPr>
      </w:pPr>
    </w:p>
    <w:p>
      <w:pPr>
        <w:jc w:val="both"/>
        <w:ind w:left="1020" w:right="20" w:hanging="506"/>
        <w:spacing w:after="0" w:line="263" w:lineRule="auto"/>
        <w:tabs>
          <w:tab w:leader="none" w:pos="102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183" w:lineRule="exact"/>
        <w:rPr>
          <w:rFonts w:ascii="Arial" w:cs="Arial" w:eastAsia="Arial" w:hAnsi="Arial"/>
          <w:sz w:val="18"/>
          <w:szCs w:val="18"/>
          <w:color w:val="auto"/>
        </w:rPr>
      </w:pPr>
    </w:p>
    <w:p>
      <w:pPr>
        <w:ind w:left="1020" w:right="300" w:hanging="506"/>
        <w:spacing w:after="0" w:line="277" w:lineRule="auto"/>
        <w:tabs>
          <w:tab w:leader="none" w:pos="102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70" w:lineRule="exact"/>
        <w:rPr>
          <w:rFonts w:ascii="Arial" w:cs="Arial" w:eastAsia="Arial" w:hAnsi="Arial"/>
          <w:sz w:val="18"/>
          <w:szCs w:val="18"/>
          <w:color w:val="auto"/>
        </w:rPr>
      </w:pPr>
    </w:p>
    <w:p>
      <w:pPr>
        <w:ind w:left="1020" w:right="40" w:hanging="506"/>
        <w:spacing w:after="0" w:line="263" w:lineRule="auto"/>
        <w:tabs>
          <w:tab w:leader="none" w:pos="1021"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7" w:name="page368"/>
    <w:bookmarkEnd w:id="367"/>
    <w:p>
      <w:pPr>
        <w:ind w:left="1020" w:right="80" w:hanging="506"/>
        <w:spacing w:after="0" w:line="259" w:lineRule="auto"/>
        <w:tabs>
          <w:tab w:leader="none" w:pos="102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86" w:lineRule="exact"/>
        <w:rPr>
          <w:rFonts w:ascii="Arial" w:cs="Arial" w:eastAsia="Arial" w:hAnsi="Arial"/>
          <w:sz w:val="18"/>
          <w:szCs w:val="18"/>
          <w:color w:val="auto"/>
        </w:rPr>
      </w:pPr>
    </w:p>
    <w:p>
      <w:pPr>
        <w:ind w:left="1020" w:right="420" w:hanging="506"/>
        <w:spacing w:after="0" w:line="277" w:lineRule="auto"/>
        <w:tabs>
          <w:tab w:leader="none" w:pos="1018"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70" w:lineRule="exact"/>
        <w:rPr>
          <w:rFonts w:ascii="Arial" w:cs="Arial" w:eastAsia="Arial" w:hAnsi="Arial"/>
          <w:sz w:val="18"/>
          <w:szCs w:val="18"/>
          <w:color w:val="auto"/>
        </w:rPr>
      </w:pPr>
    </w:p>
    <w:p>
      <w:pPr>
        <w:ind w:left="1020" w:hanging="506"/>
        <w:spacing w:after="0" w:line="286" w:lineRule="auto"/>
        <w:tabs>
          <w:tab w:leader="none" w:pos="1035"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The Security Agent is not authorised to act on behalf of a Lender (without first obtaining that Lender’s consent) in any legal or arbitration proceedings relating to any Finance Document. This clause (g) shall not apply to any legal or arbitration proceeding relating to the perfection, preservation or protection of rights under the Security Documents or enforcement of the Security Documents.</w:t>
      </w:r>
    </w:p>
    <w:p>
      <w:pPr>
        <w:spacing w:after="0" w:line="165" w:lineRule="exact"/>
        <w:rPr>
          <w:rFonts w:ascii="Arial" w:cs="Arial" w:eastAsia="Arial" w:hAnsi="Arial"/>
          <w:sz w:val="17"/>
          <w:szCs w:val="17"/>
          <w:color w:val="auto"/>
        </w:rPr>
      </w:pPr>
    </w:p>
    <w:p>
      <w:pPr>
        <w:ind w:left="1020" w:hanging="506"/>
        <w:spacing w:after="0" w:line="263" w:lineRule="auto"/>
        <w:tabs>
          <w:tab w:leader="none" w:pos="102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 the Agent, or any Finance Party as regards any deficiency which might arise because the Security Agent is subject to any Tax in respect of all or any of the Charged Property, the income therefrom or the proceeds thereof.</w:t>
      </w:r>
    </w:p>
    <w:p>
      <w:pPr>
        <w:spacing w:after="0" w:line="183" w:lineRule="exact"/>
        <w:rPr>
          <w:rFonts w:ascii="Arial" w:cs="Arial" w:eastAsia="Arial" w:hAnsi="Arial"/>
          <w:sz w:val="18"/>
          <w:szCs w:val="18"/>
          <w:color w:val="auto"/>
        </w:rPr>
      </w:pPr>
    </w:p>
    <w:p>
      <w:pPr>
        <w:ind w:left="1020" w:right="140" w:hanging="506"/>
        <w:spacing w:after="0" w:line="279" w:lineRule="auto"/>
        <w:tabs>
          <w:tab w:leader="none" w:pos="1035" w:val="left"/>
        </w:tabs>
        <w:numPr>
          <w:ilvl w:val="0"/>
          <w:numId w:val="490"/>
        </w:numPr>
        <w:rPr>
          <w:rFonts w:ascii="Arial" w:cs="Arial" w:eastAsia="Arial" w:hAnsi="Arial"/>
          <w:sz w:val="17"/>
          <w:szCs w:val="17"/>
          <w:color w:val="auto"/>
        </w:rPr>
      </w:pPr>
      <w:r>
        <w:rPr>
          <w:rFonts w:ascii="Arial" w:cs="Arial" w:eastAsia="Arial" w:hAnsi="Arial"/>
          <w:sz w:val="17"/>
          <w:szCs w:val="17"/>
          <w:color w:val="auto"/>
        </w:rPr>
        <w:t>Until the delivery of an enforcement notice pursuant to clause 29.22 (</w:t>
      </w:r>
      <w:r>
        <w:rPr>
          <w:rFonts w:ascii="Arial" w:cs="Arial" w:eastAsia="Arial" w:hAnsi="Arial"/>
          <w:sz w:val="17"/>
          <w:szCs w:val="17"/>
          <w:i w:val="1"/>
          <w:iCs w:val="1"/>
          <w:color w:val="auto"/>
        </w:rPr>
        <w:t>Acceleration</w:t>
      </w:r>
      <w:r>
        <w:rPr>
          <w:rFonts w:ascii="Arial" w:cs="Arial" w:eastAsia="Arial" w:hAnsi="Arial"/>
          <w:sz w:val="17"/>
          <w:szCs w:val="17"/>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32.23 Security Agent’s actions</w:t>
      </w:r>
    </w:p>
    <w:p>
      <w:pPr>
        <w:spacing w:after="0" w:line="229" w:lineRule="exact"/>
        <w:rPr>
          <w:sz w:val="20"/>
          <w:szCs w:val="20"/>
          <w:color w:val="auto"/>
        </w:rPr>
      </w:pPr>
    </w:p>
    <w:p>
      <w:pPr>
        <w:ind w:left="520" w:right="440"/>
        <w:spacing w:after="0" w:line="263" w:lineRule="auto"/>
        <w:rPr>
          <w:sz w:val="20"/>
          <w:szCs w:val="20"/>
          <w:color w:val="auto"/>
        </w:rPr>
      </w:pPr>
      <w:r>
        <w:rPr>
          <w:rFonts w:ascii="Arial" w:cs="Arial" w:eastAsia="Arial" w:hAnsi="Arial"/>
          <w:sz w:val="18"/>
          <w:szCs w:val="18"/>
          <w:color w:val="auto"/>
        </w:rPr>
        <w:t>Without prejudice to the provisions of clause 32.22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32.24 Order of application</w:t>
      </w:r>
    </w:p>
    <w:p>
      <w:pPr>
        <w:spacing w:after="0" w:line="229" w:lineRule="exact"/>
        <w:rPr>
          <w:sz w:val="20"/>
          <w:szCs w:val="20"/>
          <w:color w:val="auto"/>
        </w:rPr>
      </w:pPr>
    </w:p>
    <w:p>
      <w:pPr>
        <w:ind w:left="1020" w:right="440" w:hanging="506"/>
        <w:spacing w:after="0" w:line="342" w:lineRule="auto"/>
        <w:tabs>
          <w:tab w:leader="none" w:pos="1011"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19" w:lineRule="exact"/>
        <w:rPr>
          <w:rFonts w:ascii="Arial" w:cs="Arial" w:eastAsia="Arial" w:hAnsi="Arial"/>
          <w:sz w:val="16"/>
          <w:szCs w:val="16"/>
          <w:color w:val="auto"/>
        </w:rPr>
      </w:pPr>
    </w:p>
    <w:p>
      <w:pPr>
        <w:ind w:left="1560" w:right="60" w:hanging="515"/>
        <w:spacing w:after="0" w:line="258" w:lineRule="auto"/>
        <w:tabs>
          <w:tab w:leader="none" w:pos="1575" w:val="left"/>
        </w:tabs>
        <w:numPr>
          <w:ilvl w:val="1"/>
          <w:numId w:val="491"/>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received by the Security Agent pursuant to clause 32.11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32.21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32.11 (</w:t>
      </w:r>
      <w:r>
        <w:rPr>
          <w:rFonts w:ascii="Arial" w:cs="Arial" w:eastAsia="Arial" w:hAnsi="Arial"/>
          <w:sz w:val="18"/>
          <w:szCs w:val="18"/>
          <w:i w:val="1"/>
          <w:iCs w:val="1"/>
          <w:color w:val="auto"/>
        </w:rPr>
        <w:t>Lenders’ indemnity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Agent)) </w:t>
      </w:r>
      <w:r>
        <w:rPr>
          <w:rFonts w:ascii="Arial" w:cs="Arial" w:eastAsia="Arial" w:hAnsi="Arial"/>
          <w:sz w:val="18"/>
          <w:szCs w:val="18"/>
          <w:color w:val="auto"/>
        </w:rPr>
        <w:t>for the Agent absolutely;</w:t>
      </w:r>
    </w:p>
    <w:p>
      <w:pPr>
        <w:spacing w:after="0" w:line="183" w:lineRule="exact"/>
        <w:rPr>
          <w:rFonts w:ascii="Arial" w:cs="Arial" w:eastAsia="Arial" w:hAnsi="Arial"/>
          <w:sz w:val="18"/>
          <w:szCs w:val="18"/>
          <w:color w:val="auto"/>
        </w:rPr>
      </w:pPr>
    </w:p>
    <w:p>
      <w:pPr>
        <w:ind w:left="1560" w:right="340" w:hanging="515"/>
        <w:spacing w:after="0" w:line="347" w:lineRule="auto"/>
        <w:tabs>
          <w:tab w:leader="none" w:pos="1585" w:val="left"/>
        </w:tabs>
        <w:numPr>
          <w:ilvl w:val="1"/>
          <w:numId w:val="491"/>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as to a sum equivalent to the aggregate amount then due and owing to the other Finance Parties under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for those Finance Parties absolutely for application between them in accordance with clause 35.5 (</w:t>
      </w:r>
      <w:r>
        <w:rPr>
          <w:rFonts w:ascii="Arial" w:cs="Arial" w:eastAsia="Arial" w:hAnsi="Arial"/>
          <w:sz w:val="16"/>
          <w:szCs w:val="16"/>
          <w:i w:val="1"/>
          <w:iCs w:val="1"/>
          <w:color w:val="auto"/>
        </w:rPr>
        <w:t>Partial payments</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1560" w:right="20" w:hanging="515"/>
        <w:spacing w:after="0" w:line="266" w:lineRule="auto"/>
        <w:tabs>
          <w:tab w:leader="none" w:pos="1594" w:val="left"/>
        </w:tabs>
        <w:numPr>
          <w:ilvl w:val="1"/>
          <w:numId w:val="491"/>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unconditionally discharged in full, held by the Security Agent on a suspense account for payment of any further amounts owing to the Finance Parties under the Finance Documents and further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8" w:name="page369"/>
    <w:bookmarkEnd w:id="368"/>
    <w:p>
      <w:pPr>
        <w:ind w:left="1560"/>
        <w:spacing w:after="0"/>
        <w:rPr>
          <w:sz w:val="20"/>
          <w:szCs w:val="20"/>
          <w:color w:val="auto"/>
        </w:rPr>
      </w:pPr>
      <w:r>
        <w:rPr>
          <w:rFonts w:ascii="Arial" w:cs="Arial" w:eastAsia="Arial" w:hAnsi="Arial"/>
          <w:sz w:val="18"/>
          <w:szCs w:val="18"/>
          <w:color w:val="auto"/>
        </w:rPr>
        <w:t>application in accordance with this clause 32.24(a) as and when any such amounts later fall due;</w:t>
      </w:r>
    </w:p>
    <w:p>
      <w:pPr>
        <w:spacing w:after="0" w:line="221" w:lineRule="exact"/>
        <w:rPr>
          <w:sz w:val="20"/>
          <w:szCs w:val="20"/>
          <w:color w:val="auto"/>
        </w:rPr>
      </w:pPr>
    </w:p>
    <w:p>
      <w:pPr>
        <w:ind w:left="1560" w:hanging="515"/>
        <w:spacing w:after="0"/>
        <w:tabs>
          <w:tab w:leader="none" w:pos="1560" w:val="left"/>
        </w:tabs>
        <w:numPr>
          <w:ilvl w:val="1"/>
          <w:numId w:val="492"/>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25" w:lineRule="exact"/>
        <w:rPr>
          <w:rFonts w:ascii="Arial" w:cs="Arial" w:eastAsia="Arial" w:hAnsi="Arial"/>
          <w:sz w:val="18"/>
          <w:szCs w:val="18"/>
          <w:color w:val="auto"/>
        </w:rPr>
      </w:pPr>
    </w:p>
    <w:p>
      <w:pPr>
        <w:ind w:left="1560" w:right="40" w:hanging="515"/>
        <w:spacing w:after="0" w:line="282" w:lineRule="auto"/>
        <w:tabs>
          <w:tab w:leader="none" w:pos="1561" w:val="left"/>
        </w:tabs>
        <w:numPr>
          <w:ilvl w:val="1"/>
          <w:numId w:val="492"/>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 received or</w:t>
      </w:r>
      <w:r>
        <w:rPr>
          <w:rFonts w:ascii="Arial" w:cs="Arial" w:eastAsia="Arial" w:hAnsi="Arial"/>
          <w:sz w:val="18"/>
          <w:szCs w:val="18"/>
          <w:b w:val="1"/>
          <w:bCs w:val="1"/>
          <w:color w:val="auto"/>
        </w:rPr>
        <w:t xml:space="preserve"> </w:t>
      </w:r>
      <w:r>
        <w:rPr>
          <w:rFonts w:ascii="Arial" w:cs="Arial" w:eastAsia="Arial" w:hAnsi="Arial"/>
          <w:sz w:val="18"/>
          <w:szCs w:val="18"/>
          <w:color w:val="auto"/>
        </w:rPr>
        <w:t>recovered or other person entitled to them.</w:t>
      </w:r>
    </w:p>
    <w:p>
      <w:pPr>
        <w:spacing w:after="0" w:line="165" w:lineRule="exact"/>
        <w:rPr>
          <w:rFonts w:ascii="Arial" w:cs="Arial" w:eastAsia="Arial" w:hAnsi="Arial"/>
          <w:sz w:val="18"/>
          <w:szCs w:val="18"/>
          <w:color w:val="auto"/>
        </w:rPr>
      </w:pPr>
    </w:p>
    <w:p>
      <w:pPr>
        <w:ind w:left="1020" w:hanging="506"/>
        <w:spacing w:after="0" w:line="254" w:lineRule="auto"/>
        <w:tabs>
          <w:tab w:leader="none" w:pos="1021"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 or any other person liable.</w:t>
      </w:r>
    </w:p>
    <w:p>
      <w:pPr>
        <w:spacing w:after="0" w:line="194" w:lineRule="exact"/>
        <w:rPr>
          <w:rFonts w:ascii="Arial" w:cs="Arial" w:eastAsia="Arial" w:hAnsi="Arial"/>
          <w:sz w:val="18"/>
          <w:szCs w:val="18"/>
          <w:color w:val="auto"/>
        </w:rPr>
      </w:pPr>
    </w:p>
    <w:p>
      <w:pPr>
        <w:ind w:left="1020" w:hanging="506"/>
        <w:spacing w:after="0" w:line="263" w:lineRule="auto"/>
        <w:tabs>
          <w:tab w:leader="none" w:pos="102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32.24 by paying such amounts to the Agent for distribution in accordance with clause 35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32.25 Powers and duties of the Security Agent as trustee of the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25" w:lineRule="exact"/>
        <w:rPr>
          <w:sz w:val="20"/>
          <w:szCs w:val="20"/>
          <w:color w:val="auto"/>
        </w:rPr>
      </w:pPr>
    </w:p>
    <w:p>
      <w:pPr>
        <w:ind w:left="1020" w:right="40" w:hanging="506"/>
        <w:spacing w:after="0" w:line="257" w:lineRule="auto"/>
        <w:tabs>
          <w:tab w:leader="none" w:pos="1011"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87" w:lineRule="exact"/>
        <w:rPr>
          <w:rFonts w:ascii="Arial" w:cs="Arial" w:eastAsia="Arial" w:hAnsi="Arial"/>
          <w:sz w:val="18"/>
          <w:szCs w:val="18"/>
          <w:color w:val="auto"/>
        </w:rPr>
      </w:pPr>
    </w:p>
    <w:p>
      <w:pPr>
        <w:ind w:left="1020" w:hanging="506"/>
        <w:spacing w:after="0" w:line="272" w:lineRule="auto"/>
        <w:tabs>
          <w:tab w:leader="none" w:pos="1021" w:val="left"/>
        </w:tabs>
        <w:numPr>
          <w:ilvl w:val="0"/>
          <w:numId w:val="494"/>
        </w:numPr>
        <w:rPr>
          <w:rFonts w:ascii="Arial" w:cs="Arial" w:eastAsia="Arial" w:hAnsi="Arial"/>
          <w:sz w:val="17"/>
          <w:szCs w:val="17"/>
          <w:color w:val="auto"/>
        </w:rPr>
      </w:pPr>
      <w:r>
        <w:rPr>
          <w:rFonts w:ascii="Arial" w:cs="Arial" w:eastAsia="Arial" w:hAnsi="Arial"/>
          <w:sz w:val="17"/>
          <w:szCs w:val="17"/>
          <w:color w:val="auto"/>
        </w:rPr>
        <w:t>shall (subject to clause 32.24(a) (</w:t>
      </w:r>
      <w:r>
        <w:rPr>
          <w:rFonts w:ascii="Arial" w:cs="Arial" w:eastAsia="Arial" w:hAnsi="Arial"/>
          <w:sz w:val="17"/>
          <w:szCs w:val="17"/>
          <w:i w:val="1"/>
          <w:iCs w:val="1"/>
          <w:color w:val="auto"/>
        </w:rPr>
        <w:t>Order of application</w:t>
      </w:r>
      <w:r>
        <w:rPr>
          <w:rFonts w:ascii="Arial" w:cs="Arial" w:eastAsia="Arial" w:hAnsi="Arial"/>
          <w:sz w:val="17"/>
          <w:szCs w:val="17"/>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77" w:lineRule="exact"/>
        <w:rPr>
          <w:rFonts w:ascii="Arial" w:cs="Arial" w:eastAsia="Arial" w:hAnsi="Arial"/>
          <w:sz w:val="17"/>
          <w:szCs w:val="17"/>
          <w:color w:val="auto"/>
        </w:rPr>
      </w:pPr>
    </w:p>
    <w:p>
      <w:pPr>
        <w:ind w:left="1020" w:right="20" w:hanging="506"/>
        <w:spacing w:after="0" w:line="254" w:lineRule="auto"/>
        <w:tabs>
          <w:tab w:leader="none" w:pos="1024"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9" w:name="page370"/>
    <w:bookmarkEnd w:id="369"/>
    <w:p>
      <w:pPr>
        <w:ind w:left="506"/>
        <w:spacing w:after="0"/>
        <w:rPr>
          <w:sz w:val="20"/>
          <w:szCs w:val="20"/>
          <w:color w:val="auto"/>
        </w:rPr>
      </w:pPr>
      <w:r>
        <w:rPr>
          <w:rFonts w:ascii="Arial" w:cs="Arial" w:eastAsia="Arial" w:hAnsi="Arial"/>
          <w:sz w:val="18"/>
          <w:szCs w:val="18"/>
          <w:color w:val="auto"/>
        </w:rPr>
        <w:t>any such agent or delegate if the Security Agent shall have exercised reasonable care in the selection of such agent;</w:t>
      </w:r>
    </w:p>
    <w:p>
      <w:pPr>
        <w:spacing w:after="0" w:line="225" w:lineRule="exact"/>
        <w:rPr>
          <w:sz w:val="20"/>
          <w:szCs w:val="20"/>
          <w:color w:val="auto"/>
        </w:rPr>
      </w:pPr>
    </w:p>
    <w:p>
      <w:pPr>
        <w:ind w:left="506" w:right="80" w:hanging="506"/>
        <w:spacing w:after="0" w:line="293" w:lineRule="auto"/>
        <w:tabs>
          <w:tab w:leader="none" w:pos="507" w:val="left"/>
        </w:tabs>
        <w:numPr>
          <w:ilvl w:val="0"/>
          <w:numId w:val="495"/>
        </w:numPr>
        <w:rPr>
          <w:rFonts w:ascii="Arial" w:cs="Arial" w:eastAsia="Arial" w:hAnsi="Arial"/>
          <w:sz w:val="16"/>
          <w:szCs w:val="16"/>
          <w:color w:val="auto"/>
        </w:rPr>
      </w:pPr>
      <w:r>
        <w:rPr>
          <w:rFonts w:ascii="Arial" w:cs="Arial" w:eastAsia="Arial" w:hAnsi="Arial"/>
          <w:sz w:val="16"/>
          <w:szCs w:val="16"/>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164" w:lineRule="exact"/>
        <w:rPr>
          <w:rFonts w:ascii="Arial" w:cs="Arial" w:eastAsia="Arial" w:hAnsi="Arial"/>
          <w:sz w:val="16"/>
          <w:szCs w:val="16"/>
          <w:color w:val="auto"/>
        </w:rPr>
      </w:pPr>
    </w:p>
    <w:p>
      <w:pPr>
        <w:jc w:val="both"/>
        <w:ind w:left="506" w:right="160" w:hanging="506"/>
        <w:spacing w:after="0" w:line="263" w:lineRule="auto"/>
        <w:tabs>
          <w:tab w:leader="none" w:pos="511"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183" w:lineRule="exact"/>
        <w:rPr>
          <w:rFonts w:ascii="Arial" w:cs="Arial" w:eastAsia="Arial" w:hAnsi="Arial"/>
          <w:sz w:val="18"/>
          <w:szCs w:val="18"/>
          <w:color w:val="auto"/>
        </w:rPr>
      </w:pPr>
    </w:p>
    <w:p>
      <w:pPr>
        <w:ind w:left="506" w:hanging="506"/>
        <w:spacing w:after="0" w:line="257" w:lineRule="auto"/>
        <w:tabs>
          <w:tab w:leader="none" w:pos="504" w:val="left"/>
        </w:tabs>
        <w:numPr>
          <w:ilvl w:val="0"/>
          <w:numId w:val="495"/>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187" w:lineRule="exact"/>
        <w:rPr>
          <w:rFonts w:ascii="Arial" w:cs="Arial" w:eastAsia="Arial" w:hAnsi="Arial"/>
          <w:sz w:val="18"/>
          <w:szCs w:val="18"/>
          <w:color w:val="auto"/>
        </w:rPr>
      </w:pPr>
    </w:p>
    <w:p>
      <w:pPr>
        <w:ind w:left="506" w:right="180" w:hanging="506"/>
        <w:spacing w:after="0" w:line="263" w:lineRule="auto"/>
        <w:tabs>
          <w:tab w:leader="none" w:pos="521"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183" w:lineRule="exact"/>
        <w:rPr>
          <w:rFonts w:ascii="Arial" w:cs="Arial" w:eastAsia="Arial" w:hAnsi="Arial"/>
          <w:sz w:val="18"/>
          <w:szCs w:val="18"/>
          <w:color w:val="auto"/>
        </w:rPr>
      </w:pPr>
    </w:p>
    <w:p>
      <w:pPr>
        <w:jc w:val="both"/>
        <w:ind w:left="506" w:right="320" w:hanging="506"/>
        <w:spacing w:after="0" w:line="263" w:lineRule="auto"/>
        <w:tabs>
          <w:tab w:leader="none" w:pos="507"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183" w:lineRule="exact"/>
        <w:rPr>
          <w:rFonts w:ascii="Arial" w:cs="Arial" w:eastAsia="Arial" w:hAnsi="Arial"/>
          <w:sz w:val="18"/>
          <w:szCs w:val="18"/>
          <w:color w:val="auto"/>
        </w:rPr>
      </w:pPr>
    </w:p>
    <w:p>
      <w:pPr>
        <w:ind w:left="526" w:hanging="526"/>
        <w:spacing w:after="0"/>
        <w:tabs>
          <w:tab w:leader="none" w:pos="526"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225" w:lineRule="exact"/>
        <w:rPr>
          <w:rFonts w:ascii="Arial" w:cs="Arial" w:eastAsia="Arial" w:hAnsi="Arial"/>
          <w:sz w:val="18"/>
          <w:szCs w:val="18"/>
          <w:color w:val="auto"/>
        </w:rPr>
      </w:pPr>
    </w:p>
    <w:p>
      <w:pPr>
        <w:ind w:left="506" w:right="140" w:hanging="506"/>
        <w:spacing w:after="0" w:line="286" w:lineRule="auto"/>
        <w:tabs>
          <w:tab w:leader="none" w:pos="508" w:val="left"/>
        </w:tabs>
        <w:numPr>
          <w:ilvl w:val="0"/>
          <w:numId w:val="495"/>
        </w:numPr>
        <w:rPr>
          <w:rFonts w:ascii="Arial" w:cs="Arial" w:eastAsia="Arial" w:hAnsi="Arial"/>
          <w:sz w:val="17"/>
          <w:szCs w:val="17"/>
          <w:color w:val="auto"/>
        </w:rPr>
      </w:pPr>
      <w:r>
        <w:rPr>
          <w:rFonts w:ascii="Arial" w:cs="Arial" w:eastAsia="Arial" w:hAnsi="Arial"/>
          <w:sz w:val="17"/>
          <w:szCs w:val="17"/>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65" w:lineRule="exact"/>
        <w:rPr>
          <w:sz w:val="20"/>
          <w:szCs w:val="20"/>
          <w:color w:val="auto"/>
        </w:rPr>
      </w:pPr>
    </w:p>
    <w:p>
      <w:pPr>
        <w:ind w:left="6" w:right="420"/>
        <w:spacing w:after="0" w:line="277"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70" w:lineRule="exact"/>
        <w:rPr>
          <w:sz w:val="20"/>
          <w:szCs w:val="20"/>
          <w:color w:val="auto"/>
        </w:rPr>
      </w:pPr>
    </w:p>
    <w:p>
      <w:pPr>
        <w:ind w:left="6" w:right="240"/>
        <w:spacing w:after="0" w:line="259"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87"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41" w:right="3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color w:val="auto"/>
        </w:rPr>
        <w:t>32.26 Insurance by Security Agent</w:t>
      </w:r>
    </w:p>
    <w:p>
      <w:pPr>
        <w:spacing w:after="0" w:line="229" w:lineRule="exact"/>
        <w:rPr>
          <w:sz w:val="20"/>
          <w:szCs w:val="20"/>
          <w:color w:val="auto"/>
        </w:rPr>
      </w:pPr>
    </w:p>
    <w:p>
      <w:pPr>
        <w:ind w:left="520" w:right="180"/>
        <w:spacing w:after="0" w:line="257"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32.27 Custodians and nominees</w:t>
      </w:r>
    </w:p>
    <w:p>
      <w:pPr>
        <w:spacing w:after="0" w:line="229" w:lineRule="exact"/>
        <w:rPr>
          <w:sz w:val="20"/>
          <w:szCs w:val="20"/>
          <w:color w:val="auto"/>
        </w:rPr>
      </w:pPr>
    </w:p>
    <w:p>
      <w:pPr>
        <w:ind w:left="520"/>
        <w:spacing w:after="0" w:line="296" w:lineRule="auto"/>
        <w:rPr>
          <w:sz w:val="20"/>
          <w:szCs w:val="20"/>
          <w:color w:val="auto"/>
        </w:rPr>
      </w:pPr>
      <w:r>
        <w:rPr>
          <w:rFonts w:ascii="Arial" w:cs="Arial" w:eastAsia="Arial" w:hAnsi="Arial"/>
          <w:sz w:val="16"/>
          <w:szCs w:val="16"/>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32.28 Acceptance of title</w:t>
      </w:r>
    </w:p>
    <w:p>
      <w:pPr>
        <w:spacing w:after="0" w:line="229" w:lineRule="exact"/>
        <w:rPr>
          <w:sz w:val="20"/>
          <w:szCs w:val="20"/>
          <w:color w:val="auto"/>
        </w:rPr>
      </w:pPr>
    </w:p>
    <w:p>
      <w:pPr>
        <w:ind w:left="520" w:right="300"/>
        <w:spacing w:after="0" w:line="342"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32.29 Refrain from illegality</w:t>
      </w:r>
    </w:p>
    <w:p>
      <w:pPr>
        <w:spacing w:after="0" w:line="229"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32.30 All enforcement action through the Security Agent</w:t>
      </w:r>
    </w:p>
    <w:p>
      <w:pPr>
        <w:spacing w:after="0" w:line="229" w:lineRule="exact"/>
        <w:rPr>
          <w:sz w:val="20"/>
          <w:szCs w:val="20"/>
          <w:color w:val="auto"/>
        </w:rPr>
      </w:pPr>
    </w:p>
    <w:p>
      <w:pPr>
        <w:ind w:left="1020" w:right="80" w:hanging="506"/>
        <w:spacing w:after="0" w:line="259" w:lineRule="auto"/>
        <w:tabs>
          <w:tab w:leader="none" w:pos="1011"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186" w:lineRule="exact"/>
        <w:rPr>
          <w:rFonts w:ascii="Arial" w:cs="Arial" w:eastAsia="Arial" w:hAnsi="Arial"/>
          <w:sz w:val="18"/>
          <w:szCs w:val="18"/>
          <w:color w:val="auto"/>
        </w:rPr>
      </w:pPr>
    </w:p>
    <w:p>
      <w:pPr>
        <w:ind w:left="1020" w:hanging="506"/>
        <w:spacing w:after="0" w:line="272" w:lineRule="auto"/>
        <w:tabs>
          <w:tab w:leader="none" w:pos="1021" w:val="left"/>
        </w:tabs>
        <w:numPr>
          <w:ilvl w:val="0"/>
          <w:numId w:val="496"/>
        </w:numPr>
        <w:rPr>
          <w:rFonts w:ascii="Arial" w:cs="Arial" w:eastAsia="Arial" w:hAnsi="Arial"/>
          <w:sz w:val="17"/>
          <w:szCs w:val="17"/>
          <w:color w:val="auto"/>
        </w:rPr>
      </w:pPr>
      <w:r>
        <w:rPr>
          <w:rFonts w:ascii="Arial" w:cs="Arial" w:eastAsia="Arial" w:hAnsi="Arial"/>
          <w:sz w:val="17"/>
          <w:szCs w:val="17"/>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32.31 Co-operation to achieve agreed priorities of application</w:t>
      </w:r>
    </w:p>
    <w:p>
      <w:pPr>
        <w:spacing w:after="0" w:line="229"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in realising the property and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1" w:name="page372"/>
    <w:bookmarkEnd w:id="371"/>
    <w:p>
      <w:pPr>
        <w:ind w:left="520" w:right="220"/>
        <w:spacing w:after="0" w:line="277" w:lineRule="auto"/>
        <w:rPr>
          <w:sz w:val="20"/>
          <w:szCs w:val="20"/>
          <w:color w:val="auto"/>
        </w:rPr>
      </w:pPr>
      <w:r>
        <w:rPr>
          <w:rFonts w:ascii="Arial" w:cs="Arial" w:eastAsia="Arial" w:hAnsi="Arial"/>
          <w:sz w:val="18"/>
          <w:szCs w:val="18"/>
          <w:color w:val="auto"/>
        </w:rPr>
        <w:t>subject to the Security Documents and in ensuring that the net proceeds realised under the Security Documents after deduction of the expenses of realisation are applied in accordance with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32.32 Indemnity from Trust Property</w:t>
      </w:r>
    </w:p>
    <w:p>
      <w:pPr>
        <w:spacing w:after="0" w:line="229" w:lineRule="exact"/>
        <w:rPr>
          <w:sz w:val="20"/>
          <w:szCs w:val="20"/>
          <w:color w:val="auto"/>
        </w:rPr>
      </w:pPr>
    </w:p>
    <w:p>
      <w:pPr>
        <w:ind w:left="1020" w:hanging="506"/>
        <w:spacing w:after="0" w:line="259" w:lineRule="auto"/>
        <w:tabs>
          <w:tab w:leader="none" w:pos="1011"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186" w:lineRule="exact"/>
        <w:rPr>
          <w:rFonts w:ascii="Arial" w:cs="Arial" w:eastAsia="Arial" w:hAnsi="Arial"/>
          <w:sz w:val="18"/>
          <w:szCs w:val="18"/>
          <w:color w:val="auto"/>
        </w:rPr>
      </w:pPr>
    </w:p>
    <w:p>
      <w:pPr>
        <w:ind w:left="1520" w:right="420" w:hanging="501"/>
        <w:spacing w:after="0" w:line="277" w:lineRule="auto"/>
        <w:tabs>
          <w:tab w:leader="none" w:pos="1535"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70" w:lineRule="exact"/>
        <w:rPr>
          <w:rFonts w:ascii="Arial" w:cs="Arial" w:eastAsia="Arial" w:hAnsi="Arial"/>
          <w:sz w:val="18"/>
          <w:szCs w:val="18"/>
          <w:color w:val="auto"/>
        </w:rPr>
      </w:pPr>
    </w:p>
    <w:p>
      <w:pPr>
        <w:ind w:left="1540" w:hanging="521"/>
        <w:spacing w:after="0"/>
        <w:tabs>
          <w:tab w:leader="none" w:pos="154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25" w:lineRule="exact"/>
        <w:rPr>
          <w:rFonts w:ascii="Arial" w:cs="Arial" w:eastAsia="Arial" w:hAnsi="Arial"/>
          <w:sz w:val="18"/>
          <w:szCs w:val="18"/>
          <w:color w:val="auto"/>
        </w:rPr>
      </w:pPr>
    </w:p>
    <w:p>
      <w:pPr>
        <w:ind w:left="1520" w:right="540" w:hanging="501"/>
        <w:spacing w:after="0" w:line="277" w:lineRule="auto"/>
        <w:tabs>
          <w:tab w:leader="none" w:pos="155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70" w:lineRule="exact"/>
        <w:rPr>
          <w:rFonts w:ascii="Arial" w:cs="Arial" w:eastAsia="Arial" w:hAnsi="Arial"/>
          <w:sz w:val="18"/>
          <w:szCs w:val="18"/>
          <w:color w:val="auto"/>
        </w:rPr>
      </w:pPr>
    </w:p>
    <w:p>
      <w:pPr>
        <w:ind w:left="1520" w:right="240" w:hanging="501"/>
        <w:spacing w:after="0" w:line="277" w:lineRule="auto"/>
        <w:tabs>
          <w:tab w:leader="none" w:pos="1531"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70" w:lineRule="exact"/>
        <w:rPr>
          <w:rFonts w:ascii="Arial" w:cs="Arial" w:eastAsia="Arial" w:hAnsi="Arial"/>
          <w:sz w:val="18"/>
          <w:szCs w:val="18"/>
          <w:color w:val="auto"/>
        </w:rPr>
      </w:pPr>
    </w:p>
    <w:p>
      <w:pPr>
        <w:ind w:left="1020" w:right="20" w:hanging="506"/>
        <w:spacing w:after="0" w:line="255" w:lineRule="auto"/>
        <w:tabs>
          <w:tab w:leader="none" w:pos="1021"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rights conferred by this clause 32.32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32.32 shall entitle the Security Agent or any other person to be indemnified in respect of any liabilities, damages, costs, claims, charges or expenses to the extent that the same arise from such person’s own gross negligence or wilful default.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32.33 Finance Parties to provide information</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32.24(a)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32.34 No reliance on Security Agent</w:t>
      </w:r>
    </w:p>
    <w:p>
      <w:pPr>
        <w:spacing w:after="0" w:line="229"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187" w:lineRule="exact"/>
        <w:rPr>
          <w:sz w:val="20"/>
          <w:szCs w:val="20"/>
          <w:color w:val="auto"/>
        </w:rPr>
      </w:pPr>
    </w:p>
    <w:p>
      <w:pPr>
        <w:ind w:left="1020" w:right="180" w:hanging="506"/>
        <w:spacing w:after="0" w:line="277" w:lineRule="auto"/>
        <w:tabs>
          <w:tab w:leader="none" w:pos="1011"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2" w:name="page373"/>
    <w:bookmarkEnd w:id="372"/>
    <w:p>
      <w:pPr>
        <w:ind w:left="1020" w:right="100"/>
        <w:spacing w:after="0" w:line="277" w:lineRule="auto"/>
        <w:rPr>
          <w:sz w:val="20"/>
          <w:szCs w:val="20"/>
          <w:color w:val="auto"/>
        </w:rPr>
      </w:pPr>
      <w:r>
        <w:rPr>
          <w:rFonts w:ascii="Arial" w:cs="Arial" w:eastAsia="Arial" w:hAnsi="Arial"/>
          <w:sz w:val="18"/>
          <w:szCs w:val="18"/>
          <w:color w:val="auto"/>
        </w:rPr>
        <w:t>Finance Documents, the Charged Property or the transactions therein contemplated (whether or not such information has been or is hereafter circulated to such Finance Party by the Security Agent);</w:t>
      </w:r>
    </w:p>
    <w:p>
      <w:pPr>
        <w:spacing w:after="0" w:line="170" w:lineRule="exact"/>
        <w:rPr>
          <w:sz w:val="20"/>
          <w:szCs w:val="20"/>
          <w:color w:val="auto"/>
        </w:rPr>
      </w:pPr>
    </w:p>
    <w:p>
      <w:pPr>
        <w:ind w:left="1020" w:right="20" w:hanging="506"/>
        <w:spacing w:after="0" w:line="257" w:lineRule="auto"/>
        <w:tabs>
          <w:tab w:leader="none" w:pos="102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187" w:lineRule="exact"/>
        <w:rPr>
          <w:rFonts w:ascii="Arial" w:cs="Arial" w:eastAsia="Arial" w:hAnsi="Arial"/>
          <w:sz w:val="18"/>
          <w:szCs w:val="18"/>
          <w:color w:val="auto"/>
        </w:rPr>
      </w:pPr>
    </w:p>
    <w:p>
      <w:pPr>
        <w:ind w:left="1020" w:right="460" w:hanging="506"/>
        <w:spacing w:after="0" w:line="259" w:lineRule="auto"/>
        <w:tabs>
          <w:tab w:leader="none" w:pos="10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186" w:lineRule="exact"/>
        <w:rPr>
          <w:rFonts w:ascii="Arial" w:cs="Arial" w:eastAsia="Arial" w:hAnsi="Arial"/>
          <w:sz w:val="18"/>
          <w:szCs w:val="18"/>
          <w:color w:val="auto"/>
        </w:rPr>
      </w:pPr>
    </w:p>
    <w:p>
      <w:pPr>
        <w:ind w:left="1020" w:right="320" w:hanging="506"/>
        <w:spacing w:after="0" w:line="263" w:lineRule="auto"/>
        <w:tabs>
          <w:tab w:leader="none" w:pos="102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183" w:lineRule="exact"/>
        <w:rPr>
          <w:rFonts w:ascii="Arial" w:cs="Arial" w:eastAsia="Arial" w:hAnsi="Arial"/>
          <w:sz w:val="18"/>
          <w:szCs w:val="18"/>
          <w:color w:val="auto"/>
        </w:rPr>
      </w:pPr>
    </w:p>
    <w:p>
      <w:pPr>
        <w:ind w:left="1020" w:right="520" w:hanging="506"/>
        <w:spacing w:after="0" w:line="277" w:lineRule="auto"/>
        <w:tabs>
          <w:tab w:leader="none" w:pos="10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32.35 Release to facilitate enforcement and realisation</w:t>
      </w:r>
    </w:p>
    <w:p>
      <w:pPr>
        <w:spacing w:after="0" w:line="229"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32.36 Undertaking to pay</w:t>
      </w:r>
    </w:p>
    <w:p>
      <w:pPr>
        <w:spacing w:after="0" w:line="229"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t>32.37 Additional trustees</w:t>
      </w:r>
    </w:p>
    <w:p>
      <w:pPr>
        <w:spacing w:after="0" w:line="22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 to appoint any person either to act as separate trustee or as co-trustee jointly with the Security Agent:</w:t>
      </w:r>
    </w:p>
    <w:p>
      <w:pPr>
        <w:spacing w:after="0" w:line="170" w:lineRule="exact"/>
        <w:rPr>
          <w:sz w:val="20"/>
          <w:szCs w:val="20"/>
          <w:color w:val="auto"/>
        </w:rPr>
      </w:pPr>
    </w:p>
    <w:p>
      <w:pPr>
        <w:ind w:left="1020" w:hanging="506"/>
        <w:spacing w:after="0"/>
        <w:tabs>
          <w:tab w:leader="none" w:pos="102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25" w:lineRule="exact"/>
        <w:rPr>
          <w:rFonts w:ascii="Arial" w:cs="Arial" w:eastAsia="Arial" w:hAnsi="Arial"/>
          <w:sz w:val="18"/>
          <w:szCs w:val="18"/>
          <w:color w:val="auto"/>
        </w:rPr>
      </w:pPr>
    </w:p>
    <w:p>
      <w:pPr>
        <w:ind w:left="1020" w:right="440" w:hanging="506"/>
        <w:spacing w:after="0" w:line="277" w:lineRule="auto"/>
        <w:tabs>
          <w:tab w:leader="none" w:pos="102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70" w:lineRule="exact"/>
        <w:rPr>
          <w:rFonts w:ascii="Arial" w:cs="Arial" w:eastAsia="Arial" w:hAnsi="Arial"/>
          <w:sz w:val="18"/>
          <w:szCs w:val="18"/>
          <w:color w:val="auto"/>
        </w:rPr>
      </w:pPr>
    </w:p>
    <w:p>
      <w:pPr>
        <w:ind w:left="1020" w:right="220" w:hanging="506"/>
        <w:spacing w:after="0" w:line="277" w:lineRule="auto"/>
        <w:tabs>
          <w:tab w:leader="none" w:pos="102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70" w:lineRule="exact"/>
        <w:rPr>
          <w:sz w:val="20"/>
          <w:szCs w:val="20"/>
          <w:color w:val="auto"/>
        </w:rPr>
      </w:pPr>
    </w:p>
    <w:p>
      <w:pPr>
        <w:ind w:left="520" w:right="20"/>
        <w:spacing w:after="0" w:line="288" w:lineRule="auto"/>
        <w:rPr>
          <w:sz w:val="20"/>
          <w:szCs w:val="20"/>
          <w:color w:val="auto"/>
        </w:rPr>
      </w:pPr>
      <w:r>
        <w:rPr>
          <w:rFonts w:ascii="Arial" w:cs="Arial" w:eastAsia="Arial" w:hAnsi="Arial"/>
          <w:sz w:val="16"/>
          <w:szCs w:val="16"/>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32.38 Non-recognition of trust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225" w:lineRule="exact"/>
        <w:rPr>
          <w:sz w:val="20"/>
          <w:szCs w:val="20"/>
          <w:color w:val="auto"/>
        </w:rPr>
      </w:pPr>
    </w:p>
    <w:p>
      <w:pPr>
        <w:ind w:left="1020" w:right="20" w:hanging="506"/>
        <w:spacing w:after="0" w:line="259" w:lineRule="auto"/>
        <w:tabs>
          <w:tab w:leader="none" w:pos="1011"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32,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86" w:lineRule="exact"/>
        <w:rPr>
          <w:rFonts w:ascii="Arial" w:cs="Arial" w:eastAsia="Arial" w:hAnsi="Arial"/>
          <w:sz w:val="18"/>
          <w:szCs w:val="18"/>
          <w:color w:val="auto"/>
        </w:rPr>
      </w:pPr>
    </w:p>
    <w:p>
      <w:pPr>
        <w:ind w:left="1020" w:hanging="506"/>
        <w:spacing w:after="0" w:line="257" w:lineRule="auto"/>
        <w:tabs>
          <w:tab w:leader="none" w:pos="1021"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provisions of this clause 32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32.39 Security Agent’s Ongoing Fees</w:t>
      </w:r>
    </w:p>
    <w:p>
      <w:pPr>
        <w:spacing w:after="0" w:line="229" w:lineRule="exact"/>
        <w:rPr>
          <w:sz w:val="20"/>
          <w:szCs w:val="20"/>
          <w:color w:val="auto"/>
        </w:rPr>
      </w:pPr>
    </w:p>
    <w:p>
      <w:pPr>
        <w:ind w:left="1020" w:hanging="506"/>
        <w:spacing w:after="0"/>
        <w:tabs>
          <w:tab w:leader="none" w:pos="10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Borrower shall pay to the Agent and the Security Agent certain fees in accordance with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60" w:hanging="541"/>
        <w:spacing w:after="0"/>
        <w:tabs>
          <w:tab w:leader="none" w:pos="15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4" w:name="page375"/>
    <w:bookmarkEnd w:id="374"/>
    <w:p>
      <w:pPr>
        <w:ind w:left="1520" w:right="140" w:hanging="501"/>
        <w:spacing w:after="0" w:line="259" w:lineRule="auto"/>
        <w:tabs>
          <w:tab w:leader="none" w:pos="154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187"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the Borrower shall pay to the Security Agent any additional reasonable remuneration (together with any applicable taxes thereon) which shall be calculated by reference to its hourly rates in force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32.40 Interest on Demand</w:t>
      </w:r>
    </w:p>
    <w:p>
      <w:pPr>
        <w:spacing w:after="0" w:line="229" w:lineRule="exact"/>
        <w:rPr>
          <w:sz w:val="20"/>
          <w:szCs w:val="20"/>
          <w:color w:val="auto"/>
        </w:rPr>
      </w:pPr>
    </w:p>
    <w:p>
      <w:pPr>
        <w:ind w:left="520" w:right="120"/>
        <w:spacing w:after="0" w:line="275" w:lineRule="auto"/>
        <w:rPr>
          <w:sz w:val="20"/>
          <w:szCs w:val="20"/>
          <w:color w:val="auto"/>
        </w:rPr>
      </w:pPr>
      <w:r>
        <w:rPr>
          <w:rFonts w:ascii="Arial" w:cs="Arial" w:eastAsia="Arial" w:hAnsi="Arial"/>
          <w:sz w:val="17"/>
          <w:szCs w:val="17"/>
          <w:color w:val="auto"/>
        </w:rPr>
        <w:t>If the Borrower fails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32.41 Release of Security</w:t>
      </w:r>
    </w:p>
    <w:p>
      <w:pPr>
        <w:spacing w:after="0" w:line="229"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 under or pursuant to this Agreement or any other Finance Document, the trusts herein set out shall be wound up and the Security Agent shall, at the request and cost of the Borrower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32.42 Position of Hedging Providers</w:t>
      </w:r>
    </w:p>
    <w:p>
      <w:pPr>
        <w:spacing w:after="0" w:line="229" w:lineRule="exact"/>
        <w:rPr>
          <w:sz w:val="20"/>
          <w:szCs w:val="20"/>
          <w:color w:val="auto"/>
        </w:rPr>
      </w:pPr>
    </w:p>
    <w:p>
      <w:pPr>
        <w:ind w:left="1020" w:right="80" w:hanging="506"/>
        <w:spacing w:after="0" w:line="342" w:lineRule="auto"/>
        <w:tabs>
          <w:tab w:leader="none" w:pos="1011" w:val="left"/>
        </w:tabs>
        <w:numPr>
          <w:ilvl w:val="0"/>
          <w:numId w:val="504"/>
        </w:numPr>
        <w:rPr>
          <w:rFonts w:ascii="Arial" w:cs="Arial" w:eastAsia="Arial" w:hAnsi="Arial"/>
          <w:sz w:val="16"/>
          <w:szCs w:val="16"/>
          <w:color w:val="auto"/>
        </w:rPr>
      </w:pPr>
      <w:r>
        <w:rPr>
          <w:rFonts w:ascii="Arial" w:cs="Arial" w:eastAsia="Arial" w:hAnsi="Arial"/>
          <w:sz w:val="16"/>
          <w:szCs w:val="16"/>
          <w:color w:val="auto"/>
        </w:rPr>
        <w:t>Each Hedging Provider is a Finance Party and, as such, will be entitled to share in the Trust Property in respect of any liabilities of the Obligors under the Hedging Contracts with such Hedging Provider in the manner and to the extent contemplated by the Finance Documents.</w:t>
      </w:r>
    </w:p>
    <w:p>
      <w:pPr>
        <w:spacing w:after="0" w:line="123" w:lineRule="exact"/>
        <w:rPr>
          <w:rFonts w:ascii="Arial" w:cs="Arial" w:eastAsia="Arial" w:hAnsi="Arial"/>
          <w:sz w:val="16"/>
          <w:szCs w:val="16"/>
          <w:color w:val="auto"/>
        </w:rPr>
      </w:pPr>
    </w:p>
    <w:p>
      <w:pPr>
        <w:jc w:val="both"/>
        <w:ind w:left="1020" w:right="40" w:hanging="506"/>
        <w:spacing w:after="0" w:line="286" w:lineRule="auto"/>
        <w:tabs>
          <w:tab w:leader="none" w:pos="1021" w:val="left"/>
        </w:tabs>
        <w:numPr>
          <w:ilvl w:val="0"/>
          <w:numId w:val="504"/>
        </w:numPr>
        <w:rPr>
          <w:rFonts w:ascii="Arial" w:cs="Arial" w:eastAsia="Arial" w:hAnsi="Arial"/>
          <w:sz w:val="17"/>
          <w:szCs w:val="17"/>
          <w:color w:val="auto"/>
        </w:rPr>
      </w:pPr>
      <w:r>
        <w:rPr>
          <w:rFonts w:ascii="Arial" w:cs="Arial" w:eastAsia="Arial" w:hAnsi="Arial"/>
          <w:sz w:val="17"/>
          <w:szCs w:val="17"/>
          <w:color w:val="auto"/>
        </w:rPr>
        <w:t>No Hedging Provider shall be entitled to vote on any matter where a decision of the Lenders alone is required under this Agreement, whether before or after the termination or close out of the Hedging Contracts with such Hedging Provider, provided that each Hedging Provider shall be entitled to vote on any matter where a decision of all the Finance Parties is expressly required.</w:t>
      </w:r>
    </w:p>
    <w:p>
      <w:pPr>
        <w:spacing w:after="0" w:line="165" w:lineRule="exact"/>
        <w:rPr>
          <w:rFonts w:ascii="Arial" w:cs="Arial" w:eastAsia="Arial" w:hAnsi="Arial"/>
          <w:sz w:val="17"/>
          <w:szCs w:val="17"/>
          <w:color w:val="auto"/>
        </w:rPr>
      </w:pPr>
    </w:p>
    <w:p>
      <w:pPr>
        <w:ind w:left="1020" w:hanging="506"/>
        <w:spacing w:after="0" w:line="311" w:lineRule="auto"/>
        <w:tabs>
          <w:tab w:leader="none" w:pos="1024" w:val="left"/>
        </w:tabs>
        <w:numPr>
          <w:ilvl w:val="0"/>
          <w:numId w:val="504"/>
        </w:numPr>
        <w:rPr>
          <w:rFonts w:ascii="Arial" w:cs="Arial" w:eastAsia="Arial" w:hAnsi="Arial"/>
          <w:sz w:val="16"/>
          <w:szCs w:val="16"/>
          <w:color w:val="auto"/>
        </w:rPr>
      </w:pPr>
      <w:r>
        <w:rPr>
          <w:rFonts w:ascii="Arial" w:cs="Arial" w:eastAsia="Arial" w:hAnsi="Arial"/>
          <w:sz w:val="16"/>
          <w:szCs w:val="16"/>
          <w:color w:val="auto"/>
        </w:rPr>
        <w:t>Neither the Agent nor the Security Agent nor any other beneficiary of the Security Documents shall be obliged, in connection with any action taken or proposed to be taken under or pursuant to clause 29 (</w:t>
      </w:r>
      <w:r>
        <w:rPr>
          <w:rFonts w:ascii="Arial" w:cs="Arial" w:eastAsia="Arial" w:hAnsi="Arial"/>
          <w:sz w:val="16"/>
          <w:szCs w:val="16"/>
          <w:i w:val="1"/>
          <w:iCs w:val="1"/>
          <w:color w:val="auto"/>
        </w:rPr>
        <w:t>Events of Default</w:t>
      </w:r>
      <w:r>
        <w:rPr>
          <w:rFonts w:ascii="Arial" w:cs="Arial" w:eastAsia="Arial" w:hAnsi="Arial"/>
          <w:sz w:val="16"/>
          <w:szCs w:val="16"/>
          <w:color w:val="auto"/>
        </w:rPr>
        <w:t>) or pursuant to the other Finance Documents, to have any regard to the requirements or interests of the Hedging Provider except to the extent that the relevant Hedging Provider is also a Lender.</w:t>
      </w:r>
    </w:p>
    <w:p>
      <w:pPr>
        <w:spacing w:after="0" w:line="148" w:lineRule="exact"/>
        <w:rPr>
          <w:rFonts w:ascii="Arial" w:cs="Arial" w:eastAsia="Arial" w:hAnsi="Arial"/>
          <w:sz w:val="16"/>
          <w:szCs w:val="16"/>
          <w:color w:val="auto"/>
        </w:rPr>
      </w:pPr>
    </w:p>
    <w:p>
      <w:pPr>
        <w:ind w:left="1020" w:right="60" w:hanging="506"/>
        <w:spacing w:after="0" w:line="257" w:lineRule="auto"/>
        <w:tabs>
          <w:tab w:leader="none" w:pos="1021"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Parties agree that at any time on and after any Event of Default the Agent (acting on the instructions of the Majority Lenders) shall be entitled, by notice in writing to a Hedging Provider, to instruct such Hedging Provider to terminate and close out any Hedging Transactions (or part thereof) with the relevant Hedging Provider. The relevant Hedging Provider will (and shall be entitled to) terminate and close out the relevant Hedging Transactions (or parts thereof) and/or the relevant Hedging Contracts in accordance with such notice immediately upon receipt of such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0" w:right="200" w:hanging="526"/>
        <w:spacing w:after="0" w:line="257" w:lineRule="auto"/>
        <w:tabs>
          <w:tab w:leader="none" w:pos="104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Neither the Security Agent nor any Lender shall have the right to instruct a Hedging Provider to close out or terminate any Hedging Transaction save as provided for in clauses 28.12(d) or 28.12(e) (</w:t>
      </w:r>
      <w:r>
        <w:rPr>
          <w:rFonts w:ascii="Arial" w:cs="Arial" w:eastAsia="Arial" w:hAnsi="Arial"/>
          <w:sz w:val="18"/>
          <w:szCs w:val="18"/>
          <w:i w:val="1"/>
          <w:iCs w:val="1"/>
          <w:color w:val="auto"/>
        </w:rPr>
        <w:t>Hedging</w:t>
      </w:r>
      <w:r>
        <w:rPr>
          <w:rFonts w:ascii="Arial" w:cs="Arial" w:eastAsia="Arial" w:hAnsi="Arial"/>
          <w:sz w:val="18"/>
          <w:szCs w:val="18"/>
          <w:color w:val="auto"/>
        </w:rPr>
        <w:t>) or where such Hedging Provider is expressly permitted to close out or terminate any Hedging Transaction in accordance with the relevant Hedging Contract and each Hedging Provider agrees that it shall not close out or terminate any Hedging Transaction save as provided in clauses 28.12(d) or 28.12(e) (</w:t>
      </w:r>
      <w:r>
        <w:rPr>
          <w:rFonts w:ascii="Arial" w:cs="Arial" w:eastAsia="Arial" w:hAnsi="Arial"/>
          <w:sz w:val="18"/>
          <w:szCs w:val="18"/>
          <w:i w:val="1"/>
          <w:iCs w:val="1"/>
          <w:color w:val="auto"/>
        </w:rPr>
        <w:t>Hedging</w:t>
      </w:r>
      <w:r>
        <w:rPr>
          <w:rFonts w:ascii="Arial" w:cs="Arial" w:eastAsia="Arial" w:hAnsi="Arial"/>
          <w:sz w:val="18"/>
          <w:szCs w:val="18"/>
          <w:color w:val="auto"/>
        </w:rPr>
        <w:t>) or as expressly permitted under the relevant Hedging Contract.</w:t>
      </w:r>
    </w:p>
    <w:p>
      <w:pPr>
        <w:spacing w:after="0" w:line="187" w:lineRule="exact"/>
        <w:rPr>
          <w:rFonts w:ascii="Arial" w:cs="Arial" w:eastAsia="Arial" w:hAnsi="Arial"/>
          <w:sz w:val="18"/>
          <w:szCs w:val="18"/>
          <w:color w:val="auto"/>
        </w:rPr>
      </w:pPr>
    </w:p>
    <w:p>
      <w:pPr>
        <w:ind w:left="1040" w:right="140" w:hanging="526"/>
        <w:spacing w:after="0" w:line="259" w:lineRule="auto"/>
        <w:tabs>
          <w:tab w:leader="none" w:pos="1039"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there is a net amount payable to the Borrower under a Hedging Transaction or a Hedging Contract upon its termination and close out as a result of the occurrence of an Event of Default or the Agent taking any action under clause 29.22 (</w:t>
      </w:r>
      <w:r>
        <w:rPr>
          <w:rFonts w:ascii="Arial" w:cs="Arial" w:eastAsia="Arial" w:hAnsi="Arial"/>
          <w:sz w:val="18"/>
          <w:szCs w:val="18"/>
          <w:i w:val="1"/>
          <w:iCs w:val="1"/>
          <w:color w:val="auto"/>
        </w:rPr>
        <w:t>Acceleration</w:t>
      </w:r>
      <w:r>
        <w:rPr>
          <w:rFonts w:ascii="Arial" w:cs="Arial" w:eastAsia="Arial" w:hAnsi="Arial"/>
          <w:sz w:val="18"/>
          <w:szCs w:val="18"/>
          <w:color w:val="auto"/>
        </w:rPr>
        <w:t>), the relevant Hedging Provider shall forthwith pay that net amount (together with interest earned on such amount) to the Security Agent for application in accordance with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040" w:hanging="526"/>
        <w:spacing w:after="0" w:line="277" w:lineRule="auto"/>
        <w:tabs>
          <w:tab w:leader="none" w:pos="105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No Hedging Provider (in any capacity) shall set-off any net amount against or exercise any right of combination in respect of any other claim it has against the Borrower.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32.43 Notification of prescribed events</w:t>
      </w:r>
    </w:p>
    <w:p>
      <w:pPr>
        <w:spacing w:after="0" w:line="229" w:lineRule="exact"/>
        <w:rPr>
          <w:sz w:val="20"/>
          <w:szCs w:val="20"/>
          <w:color w:val="auto"/>
        </w:rPr>
      </w:pPr>
    </w:p>
    <w:p>
      <w:pPr>
        <w:ind w:left="1040" w:right="280" w:hanging="526"/>
        <w:spacing w:after="0" w:line="263" w:lineRule="auto"/>
        <w:tabs>
          <w:tab w:leader="none" w:pos="103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If an Obligor defaults on any payment due under a Hedging Contract, the Hedging Provider which is party to that Hedging Contract shall, upon becoming aware of that default notifies the Security Agent and the Security Agent shall, upon receiving that notification, notify the Agent.</w:t>
      </w:r>
    </w:p>
    <w:p>
      <w:pPr>
        <w:spacing w:after="0" w:line="183" w:lineRule="exact"/>
        <w:rPr>
          <w:rFonts w:ascii="Arial" w:cs="Arial" w:eastAsia="Arial" w:hAnsi="Arial"/>
          <w:sz w:val="18"/>
          <w:szCs w:val="18"/>
          <w:color w:val="auto"/>
        </w:rPr>
      </w:pPr>
    </w:p>
    <w:p>
      <w:pPr>
        <w:ind w:left="1040" w:right="100" w:hanging="526"/>
        <w:spacing w:after="0" w:line="277" w:lineRule="auto"/>
        <w:tabs>
          <w:tab w:leader="none" w:pos="104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If a Hedging Provider terminates or closes-out, in whole or in party, any Hedging Transaction under any Hedging Contract it shall notify the Security Agent and the Security shall, upon receiving that notification, notify the Agent.</w:t>
      </w:r>
    </w:p>
    <w:p>
      <w:pPr>
        <w:spacing w:after="0" w:line="166" w:lineRule="exact"/>
        <w:rPr>
          <w:sz w:val="20"/>
          <w:szCs w:val="20"/>
          <w:color w:val="auto"/>
        </w:rPr>
      </w:pPr>
    </w:p>
    <w:p>
      <w:pPr>
        <w:ind w:right="7400" w:firstLine="8"/>
        <w:spacing w:after="0" w:line="503" w:lineRule="auto"/>
        <w:tabs>
          <w:tab w:leader="none" w:pos="504"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 33.1 Finance Parties tax affairs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No provision of this Agreement will:</w:t>
      </w:r>
    </w:p>
    <w:p>
      <w:pPr>
        <w:sectPr>
          <w:pgSz w:w="11900" w:h="16838" w:orient="portrait"/>
          <w:cols w:equalWidth="0" w:num="1">
            <w:col w:w="11220"/>
          </w:cols>
          <w:pgMar w:left="320" w:top="341" w:right="359" w:bottom="0" w:gutter="0" w:footer="0" w:header="0"/>
        </w:sectPr>
      </w:pPr>
    </w:p>
    <w:bookmarkStart w:id="375" w:name="page376"/>
    <w:bookmarkEnd w:id="375"/>
    <w:p>
      <w:pPr>
        <w:ind w:left="1020" w:hanging="506"/>
        <w:spacing w:after="0"/>
        <w:tabs>
          <w:tab w:leader="none" w:pos="102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25" w:lineRule="exact"/>
        <w:rPr>
          <w:rFonts w:ascii="Arial" w:cs="Arial" w:eastAsia="Arial" w:hAnsi="Arial"/>
          <w:sz w:val="18"/>
          <w:szCs w:val="18"/>
          <w:color w:val="auto"/>
        </w:rPr>
      </w:pPr>
    </w:p>
    <w:p>
      <w:pPr>
        <w:ind w:left="1040" w:right="140" w:hanging="526"/>
        <w:spacing w:after="0" w:line="277" w:lineRule="auto"/>
        <w:tabs>
          <w:tab w:leader="none" w:pos="104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Finance Parties acting together</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Notwithstanding 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29.22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 and any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32 (</w:t>
      </w:r>
      <w:r>
        <w:rPr>
          <w:rFonts w:ascii="Arial" w:cs="Arial" w:eastAsia="Arial" w:hAnsi="Arial"/>
          <w:sz w:val="18"/>
          <w:szCs w:val="18"/>
          <w:i w:val="1"/>
          <w:iCs w:val="1"/>
          <w:color w:val="auto"/>
        </w:rPr>
        <w:t>Roles of Agent, Security Agent and Arranger</w:t>
      </w:r>
      <w:r>
        <w:rPr>
          <w:rFonts w:ascii="Arial" w:cs="Arial" w:eastAsia="Arial" w:hAnsi="Arial"/>
          <w:sz w:val="18"/>
          <w:szCs w:val="18"/>
          <w:color w:val="auto"/>
        </w:rPr>
        <w:t>) as it applies to the Security Agent.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76" w:name="page377"/>
    <w:bookmarkEnd w:id="376"/>
    <w:p>
      <w:pPr>
        <w:spacing w:after="0"/>
        <w:tabs>
          <w:tab w:leader="none" w:pos="50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Majority Lenders</w:t>
      </w:r>
    </w:p>
    <w:p>
      <w:pPr>
        <w:spacing w:after="0" w:line="229"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7"/>
          <w:szCs w:val="17"/>
          <w:b w:val="1"/>
          <w:bCs w:val="1"/>
          <w:color w:val="auto"/>
        </w:rPr>
        <w:t>majority decision</w:t>
      </w:r>
      <w:r>
        <w:rPr>
          <w:rFonts w:ascii="Arial" w:cs="Arial" w:eastAsia="Arial" w:hAnsi="Arial"/>
          <w:sz w:val="17"/>
          <w:szCs w:val="17"/>
          <w:color w:val="auto"/>
        </w:rPr>
        <w:t>),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ind w:left="1040" w:hanging="526"/>
        <w:spacing w:after="0" w:line="263" w:lineRule="auto"/>
        <w:tabs>
          <w:tab w:leader="none" w:pos="103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The Borrower acknowledges that the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 may have conflicting interests in respect of the Facility or otherwise.</w:t>
      </w:r>
    </w:p>
    <w:p>
      <w:pPr>
        <w:spacing w:after="0" w:line="183" w:lineRule="exact"/>
        <w:rPr>
          <w:rFonts w:ascii="Arial" w:cs="Arial" w:eastAsia="Arial" w:hAnsi="Arial"/>
          <w:sz w:val="18"/>
          <w:szCs w:val="18"/>
          <w:color w:val="auto"/>
        </w:rPr>
      </w:pPr>
    </w:p>
    <w:p>
      <w:pPr>
        <w:ind w:left="1040" w:right="140" w:hanging="526"/>
        <w:spacing w:after="0" w:line="301" w:lineRule="auto"/>
        <w:tabs>
          <w:tab w:leader="none" w:pos="1042" w:val="left"/>
        </w:tabs>
        <w:numPr>
          <w:ilvl w:val="0"/>
          <w:numId w:val="509"/>
        </w:numPr>
        <w:rPr>
          <w:rFonts w:ascii="Arial" w:cs="Arial" w:eastAsia="Arial" w:hAnsi="Arial"/>
          <w:sz w:val="16"/>
          <w:szCs w:val="16"/>
          <w:color w:val="auto"/>
        </w:rPr>
      </w:pPr>
      <w:r>
        <w:rPr>
          <w:rFonts w:ascii="Arial" w:cs="Arial" w:eastAsia="Arial" w:hAnsi="Arial"/>
          <w:sz w:val="16"/>
          <w:szCs w:val="16"/>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 also acknowledges that no member of an Arranger Group has any obligation to use or furnish to any Obligor information obtained from other persons for their benefit.</w:t>
      </w:r>
    </w:p>
    <w:p>
      <w:pPr>
        <w:spacing w:after="0" w:line="153" w:lineRule="exact"/>
        <w:rPr>
          <w:rFonts w:ascii="Arial" w:cs="Arial" w:eastAsia="Arial" w:hAnsi="Arial"/>
          <w:sz w:val="16"/>
          <w:szCs w:val="16"/>
          <w:color w:val="auto"/>
        </w:rPr>
      </w:pPr>
    </w:p>
    <w:p>
      <w:pPr>
        <w:ind w:left="1040" w:right="300" w:hanging="526"/>
        <w:spacing w:after="0" w:line="282" w:lineRule="auto"/>
        <w:tabs>
          <w:tab w:leader="none" w:pos="104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62" w:lineRule="exact"/>
        <w:rPr>
          <w:sz w:val="20"/>
          <w:szCs w:val="20"/>
          <w:color w:val="auto"/>
        </w:rPr>
      </w:pPr>
    </w:p>
    <w:p>
      <w:pPr>
        <w:ind w:right="8020" w:firstLine="8"/>
        <w:spacing w:after="0" w:line="563" w:lineRule="auto"/>
        <w:tabs>
          <w:tab w:leader="none" w:pos="504" w:val="left"/>
        </w:tabs>
        <w:numPr>
          <w:ilvl w:val="0"/>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t>Sharing among the Finance Parties 34.1 Payments to Finance Parties</w:t>
      </w:r>
    </w:p>
    <w:p>
      <w:pPr>
        <w:spacing w:after="0" w:line="1" w:lineRule="exact"/>
        <w:rPr>
          <w:sz w:val="20"/>
          <w:szCs w:val="20"/>
          <w:color w:val="auto"/>
        </w:rPr>
      </w:pPr>
    </w:p>
    <w:p>
      <w:pPr>
        <w:ind w:left="520" w:right="660"/>
        <w:spacing w:after="0" w:line="347" w:lineRule="auto"/>
        <w:rPr>
          <w:sz w:val="20"/>
          <w:szCs w:val="20"/>
          <w:color w:val="auto"/>
        </w:rPr>
      </w:pPr>
      <w:r>
        <w:rPr>
          <w:rFonts w:ascii="Arial" w:cs="Arial" w:eastAsia="Arial" w:hAnsi="Arial"/>
          <w:sz w:val="16"/>
          <w:szCs w:val="16"/>
          <w:color w:val="auto"/>
        </w:rPr>
        <w:t xml:space="preserve">If a Finance Party (a </w:t>
      </w:r>
      <w:r>
        <w:rPr>
          <w:rFonts w:ascii="Arial" w:cs="Arial" w:eastAsia="Arial" w:hAnsi="Arial"/>
          <w:sz w:val="16"/>
          <w:szCs w:val="16"/>
          <w:b w:val="1"/>
          <w:bCs w:val="1"/>
          <w:color w:val="auto"/>
        </w:rPr>
        <w:t>Recovering Finance Party</w:t>
      </w:r>
      <w:r>
        <w:rPr>
          <w:rFonts w:ascii="Arial" w:cs="Arial" w:eastAsia="Arial" w:hAnsi="Arial"/>
          <w:sz w:val="16"/>
          <w:szCs w:val="16"/>
          <w:color w:val="auto"/>
        </w:rPr>
        <w:t>) receives or recovers any amount from an Obligor other than in accordance with clause 35 (</w:t>
      </w:r>
      <w:r>
        <w:rPr>
          <w:rFonts w:ascii="Arial" w:cs="Arial" w:eastAsia="Arial" w:hAnsi="Arial"/>
          <w:sz w:val="16"/>
          <w:szCs w:val="16"/>
          <w:i w:val="1"/>
          <w:iCs w:val="1"/>
          <w:color w:val="auto"/>
        </w:rPr>
        <w:t>Payment mechanics</w:t>
      </w:r>
      <w:r>
        <w:rPr>
          <w:rFonts w:ascii="Arial" w:cs="Arial" w:eastAsia="Arial" w:hAnsi="Arial"/>
          <w:sz w:val="16"/>
          <w:szCs w:val="16"/>
          <w:color w:val="auto"/>
        </w:rPr>
        <w:t xml:space="preserve">) (a </w:t>
      </w:r>
      <w:r>
        <w:rPr>
          <w:rFonts w:ascii="Arial" w:cs="Arial" w:eastAsia="Arial" w:hAnsi="Arial"/>
          <w:sz w:val="16"/>
          <w:szCs w:val="16"/>
          <w:b w:val="1"/>
          <w:bCs w:val="1"/>
          <w:color w:val="auto"/>
        </w:rPr>
        <w:t>Recovered Amount</w:t>
      </w:r>
      <w:r>
        <w:rPr>
          <w:rFonts w:ascii="Arial" w:cs="Arial" w:eastAsia="Arial" w:hAnsi="Arial"/>
          <w:sz w:val="16"/>
          <w:szCs w:val="16"/>
          <w:color w:val="auto"/>
        </w:rPr>
        <w:t>) and applies that amount to a payment due under the Finance Documents then:</w:t>
      </w:r>
    </w:p>
    <w:p>
      <w:pPr>
        <w:spacing w:after="0" w:line="120" w:lineRule="exact"/>
        <w:rPr>
          <w:sz w:val="20"/>
          <w:szCs w:val="20"/>
          <w:color w:val="auto"/>
        </w:rPr>
      </w:pPr>
    </w:p>
    <w:p>
      <w:pPr>
        <w:ind w:left="1020" w:hanging="506"/>
        <w:spacing w:after="0"/>
        <w:tabs>
          <w:tab w:leader="none" w:pos="10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25" w:lineRule="exact"/>
        <w:rPr>
          <w:rFonts w:ascii="Arial" w:cs="Arial" w:eastAsia="Arial" w:hAnsi="Arial"/>
          <w:sz w:val="18"/>
          <w:szCs w:val="18"/>
          <w:color w:val="auto"/>
        </w:rPr>
      </w:pPr>
    </w:p>
    <w:p>
      <w:pPr>
        <w:ind w:left="1040" w:right="40" w:hanging="526"/>
        <w:spacing w:after="0" w:line="311" w:lineRule="auto"/>
        <w:tabs>
          <w:tab w:leader="none" w:pos="104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35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44" w:lineRule="exact"/>
        <w:rPr>
          <w:rFonts w:ascii="Arial" w:cs="Arial" w:eastAsia="Arial" w:hAnsi="Arial"/>
          <w:sz w:val="16"/>
          <w:szCs w:val="16"/>
          <w:color w:val="auto"/>
        </w:rPr>
      </w:pPr>
    </w:p>
    <w:p>
      <w:pPr>
        <w:ind w:left="1040" w:hanging="526"/>
        <w:spacing w:after="0"/>
        <w:tabs>
          <w:tab w:leader="none" w:pos="104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 xml:space="preserve">the Recovering Finance Party shall, within three Business Days of demand by the Agent, pay to the Agent an amount (the </w:t>
      </w:r>
      <w:r>
        <w:rPr>
          <w:rFonts w:ascii="Arial" w:cs="Arial" w:eastAsia="Arial" w:hAnsi="Arial"/>
          <w:sz w:val="17"/>
          <w:szCs w:val="17"/>
          <w:b w:val="1"/>
          <w:bCs w:val="1"/>
          <w:color w:val="auto"/>
        </w:rPr>
        <w:t>Sharing</w:t>
      </w:r>
    </w:p>
    <w:p>
      <w:pPr>
        <w:spacing w:after="0" w:line="38" w:lineRule="exact"/>
        <w:rPr>
          <w:rFonts w:ascii="Arial" w:cs="Arial" w:eastAsia="Arial" w:hAnsi="Arial"/>
          <w:sz w:val="17"/>
          <w:szCs w:val="17"/>
          <w:color w:val="auto"/>
        </w:rPr>
      </w:pPr>
    </w:p>
    <w:p>
      <w:pPr>
        <w:ind w:left="1040"/>
        <w:spacing w:after="0" w:line="260" w:lineRule="auto"/>
        <w:rPr>
          <w:rFonts w:ascii="Arial" w:cs="Arial" w:eastAsia="Arial" w:hAnsi="Arial"/>
          <w:sz w:val="17"/>
          <w:szCs w:val="17"/>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 Finance Party as</w:t>
      </w:r>
      <w:r>
        <w:rPr>
          <w:rFonts w:ascii="Arial" w:cs="Arial" w:eastAsia="Arial" w:hAnsi="Arial"/>
          <w:sz w:val="18"/>
          <w:szCs w:val="18"/>
          <w:b w:val="1"/>
          <w:bCs w:val="1"/>
          <w:color w:val="auto"/>
        </w:rPr>
        <w:t xml:space="preserve"> </w:t>
      </w:r>
      <w:r>
        <w:rPr>
          <w:rFonts w:ascii="Arial" w:cs="Arial" w:eastAsia="Arial" w:hAnsi="Arial"/>
          <w:sz w:val="18"/>
          <w:szCs w:val="18"/>
          <w:color w:val="auto"/>
        </w:rPr>
        <w:t>its share of any payment to be made,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7" w:name="page378"/>
    <w:bookmarkEnd w:id="377"/>
    <w:p>
      <w:pPr>
        <w:spacing w:after="0"/>
        <w:tabs>
          <w:tab w:leader="none" w:pos="50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Redistribution of payments</w:t>
      </w:r>
    </w:p>
    <w:p>
      <w:pPr>
        <w:spacing w:after="0" w:line="229"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b w:val="1"/>
          <w:bCs w:val="1"/>
          <w:color w:val="auto"/>
        </w:rPr>
        <w:t>Recovering Finance Party’s rights</w:t>
      </w:r>
    </w:p>
    <w:p>
      <w:pPr>
        <w:spacing w:after="0" w:line="229" w:lineRule="exact"/>
        <w:rPr>
          <w:sz w:val="20"/>
          <w:szCs w:val="20"/>
          <w:color w:val="auto"/>
        </w:rPr>
      </w:pPr>
    </w:p>
    <w:p>
      <w:pPr>
        <w:ind w:left="520" w:right="60"/>
        <w:spacing w:after="0" w:line="263" w:lineRule="auto"/>
        <w:rPr>
          <w:sz w:val="20"/>
          <w:szCs w:val="20"/>
          <w:color w:val="auto"/>
        </w:rPr>
      </w:pPr>
      <w:r>
        <w:rPr>
          <w:rFonts w:ascii="Arial" w:cs="Arial" w:eastAsia="Arial" w:hAnsi="Arial"/>
          <w:sz w:val="18"/>
          <w:szCs w:val="18"/>
          <w:color w:val="auto"/>
        </w:rPr>
        <w:t>On a distribution by the Agent under clause 34.2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6"/>
          <w:szCs w:val="16"/>
          <w:b w:val="1"/>
          <w:bCs w:val="1"/>
          <w:color w:val="auto"/>
        </w:rPr>
        <w:t>Reversal of redistribution</w:t>
      </w:r>
    </w:p>
    <w:p>
      <w:pPr>
        <w:spacing w:after="0" w:line="229"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70" w:lineRule="exact"/>
        <w:rPr>
          <w:sz w:val="20"/>
          <w:szCs w:val="20"/>
          <w:color w:val="auto"/>
        </w:rPr>
      </w:pPr>
    </w:p>
    <w:p>
      <w:pPr>
        <w:ind w:left="1040" w:right="240" w:hanging="526"/>
        <w:spacing w:after="0" w:line="259" w:lineRule="auto"/>
        <w:tabs>
          <w:tab w:leader="none" w:pos="1032"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040" w:right="420" w:hanging="526"/>
        <w:spacing w:after="0" w:line="277" w:lineRule="auto"/>
        <w:tabs>
          <w:tab w:leader="none" w:pos="1042"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5"/>
          <w:szCs w:val="15"/>
          <w:b w:val="1"/>
          <w:bCs w:val="1"/>
          <w:color w:val="auto"/>
        </w:rPr>
        <w:t>Exceptions</w:t>
      </w:r>
    </w:p>
    <w:p>
      <w:pPr>
        <w:spacing w:after="0" w:line="229" w:lineRule="exact"/>
        <w:rPr>
          <w:sz w:val="20"/>
          <w:szCs w:val="20"/>
          <w:color w:val="auto"/>
        </w:rPr>
      </w:pPr>
    </w:p>
    <w:p>
      <w:pPr>
        <w:ind w:left="1040" w:right="180" w:hanging="526"/>
        <w:spacing w:after="0" w:line="277" w:lineRule="auto"/>
        <w:tabs>
          <w:tab w:leader="none" w:pos="103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This clause 34 shall not apply to the extent that the Recovering Finance Party would not, after making any payment pursuant to this clause, have a valid and enforceable claim against the relevant Obligor.</w:t>
      </w:r>
    </w:p>
    <w:p>
      <w:pPr>
        <w:spacing w:after="0" w:line="170" w:lineRule="exact"/>
        <w:rPr>
          <w:rFonts w:ascii="Arial" w:cs="Arial" w:eastAsia="Arial" w:hAnsi="Arial"/>
          <w:sz w:val="18"/>
          <w:szCs w:val="18"/>
          <w:color w:val="auto"/>
        </w:rPr>
      </w:pPr>
    </w:p>
    <w:p>
      <w:pPr>
        <w:ind w:left="1040" w:right="540" w:hanging="526"/>
        <w:spacing w:after="0" w:line="342" w:lineRule="auto"/>
        <w:tabs>
          <w:tab w:leader="none" w:pos="1042"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123" w:lineRule="exact"/>
        <w:rPr>
          <w:rFonts w:ascii="Arial" w:cs="Arial" w:eastAsia="Arial" w:hAnsi="Arial"/>
          <w:sz w:val="16"/>
          <w:szCs w:val="16"/>
          <w:color w:val="auto"/>
        </w:rPr>
      </w:pPr>
    </w:p>
    <w:p>
      <w:pPr>
        <w:ind w:left="1560" w:hanging="528"/>
        <w:spacing w:after="0"/>
        <w:tabs>
          <w:tab w:leader="none" w:pos="1560" w:val="left"/>
        </w:tabs>
        <w:numPr>
          <w:ilvl w:val="1"/>
          <w:numId w:val="513"/>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25" w:lineRule="exact"/>
        <w:rPr>
          <w:rFonts w:ascii="Arial" w:cs="Arial" w:eastAsia="Arial" w:hAnsi="Arial"/>
          <w:sz w:val="18"/>
          <w:szCs w:val="18"/>
          <w:color w:val="auto"/>
        </w:rPr>
      </w:pPr>
    </w:p>
    <w:p>
      <w:pPr>
        <w:ind w:left="1540" w:right="600" w:hanging="508"/>
        <w:spacing w:after="0" w:line="308" w:lineRule="auto"/>
        <w:tabs>
          <w:tab w:leader="none" w:pos="1565" w:val="left"/>
        </w:tabs>
        <w:numPr>
          <w:ilvl w:val="1"/>
          <w:numId w:val="513"/>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2" w:lineRule="exact"/>
        <w:rPr>
          <w:sz w:val="20"/>
          <w:szCs w:val="20"/>
          <w:color w:val="auto"/>
        </w:rPr>
      </w:pPr>
    </w:p>
    <w:p>
      <w:pPr>
        <w:ind w:right="8980" w:firstLine="8"/>
        <w:spacing w:after="0" w:line="532" w:lineRule="auto"/>
        <w:tabs>
          <w:tab w:leader="none" w:pos="504" w:val="left"/>
        </w:tabs>
        <w:numPr>
          <w:ilvl w:val="0"/>
          <w:numId w:val="514"/>
        </w:numPr>
        <w:rPr>
          <w:rFonts w:ascii="Arial" w:cs="Arial" w:eastAsia="Arial" w:hAnsi="Arial"/>
          <w:sz w:val="17"/>
          <w:szCs w:val="17"/>
          <w:b w:val="1"/>
          <w:bCs w:val="1"/>
          <w:color w:val="auto"/>
        </w:rPr>
      </w:pPr>
      <w:r>
        <w:rPr>
          <w:rFonts w:ascii="Arial" w:cs="Arial" w:eastAsia="Arial" w:hAnsi="Arial"/>
          <w:sz w:val="17"/>
          <w:szCs w:val="17"/>
          <w:b w:val="1"/>
          <w:bCs w:val="1"/>
          <w:color w:val="auto"/>
        </w:rPr>
        <w:t>Payment mechanics 35.1 Payments to the Agent</w:t>
      </w:r>
    </w:p>
    <w:p>
      <w:pPr>
        <w:spacing w:after="0" w:line="1" w:lineRule="exact"/>
        <w:rPr>
          <w:rFonts w:ascii="Arial" w:cs="Arial" w:eastAsia="Arial" w:hAnsi="Arial"/>
          <w:sz w:val="17"/>
          <w:szCs w:val="17"/>
          <w:b w:val="1"/>
          <w:bCs w:val="1"/>
          <w:color w:val="auto"/>
        </w:rPr>
      </w:pPr>
    </w:p>
    <w:p>
      <w:pPr>
        <w:ind w:left="1040" w:right="120" w:hanging="526"/>
        <w:spacing w:after="0" w:line="259" w:lineRule="auto"/>
        <w:tabs>
          <w:tab w:leader="none" w:pos="103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86" w:lineRule="exact"/>
        <w:rPr>
          <w:rFonts w:ascii="Arial" w:cs="Arial" w:eastAsia="Arial" w:hAnsi="Arial"/>
          <w:sz w:val="18"/>
          <w:szCs w:val="18"/>
          <w:color w:val="auto"/>
        </w:rPr>
      </w:pPr>
    </w:p>
    <w:p>
      <w:pPr>
        <w:ind w:left="1040" w:right="160" w:hanging="526"/>
        <w:spacing w:after="0" w:line="277" w:lineRule="auto"/>
        <w:tabs>
          <w:tab w:leader="none" w:pos="104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a Participating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8" w:name="page379"/>
    <w:bookmarkEnd w:id="378"/>
    <w:p>
      <w:pPr>
        <w:ind w:left="1040"/>
        <w:spacing w:after="0"/>
        <w:rPr>
          <w:sz w:val="20"/>
          <w:szCs w:val="20"/>
          <w:color w:val="auto"/>
        </w:rPr>
      </w:pPr>
      <w:r>
        <w:rPr>
          <w:rFonts w:ascii="Arial" w:cs="Arial" w:eastAsia="Arial" w:hAnsi="Arial"/>
          <w:sz w:val="18"/>
          <w:szCs w:val="18"/>
          <w:color w:val="auto"/>
        </w:rPr>
        <w:t>Member State or London, as specified by the Agent) and with such bank as the Agent specifies.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b w:val="1"/>
          <w:bCs w:val="1"/>
          <w:color w:val="auto"/>
        </w:rPr>
        <w:t>Distributions by the Agent</w:t>
      </w:r>
    </w:p>
    <w:p>
      <w:pPr>
        <w:spacing w:after="0" w:line="229" w:lineRule="exact"/>
        <w:rPr>
          <w:sz w:val="20"/>
          <w:szCs w:val="20"/>
          <w:color w:val="auto"/>
        </w:rPr>
      </w:pPr>
    </w:p>
    <w:p>
      <w:pPr>
        <w:ind w:left="520" w:right="20"/>
        <w:spacing w:after="0" w:line="296" w:lineRule="auto"/>
        <w:rPr>
          <w:sz w:val="20"/>
          <w:szCs w:val="20"/>
          <w:color w:val="auto"/>
        </w:rPr>
      </w:pPr>
      <w:r>
        <w:rPr>
          <w:rFonts w:ascii="Arial" w:cs="Arial" w:eastAsia="Arial" w:hAnsi="Arial"/>
          <w:sz w:val="16"/>
          <w:szCs w:val="16"/>
          <w:color w:val="auto"/>
        </w:rPr>
        <w:t>Each payment received by the Agent under the Finance Documents for another Party shall, subject to clause 35.3 (</w:t>
      </w:r>
      <w:r>
        <w:rPr>
          <w:rFonts w:ascii="Arial" w:cs="Arial" w:eastAsia="Arial" w:hAnsi="Arial"/>
          <w:sz w:val="16"/>
          <w:szCs w:val="16"/>
          <w:i w:val="1"/>
          <w:iCs w:val="1"/>
          <w:color w:val="auto"/>
        </w:rPr>
        <w:t>Distributions to an Obligor</w:t>
      </w:r>
      <w:r>
        <w:rPr>
          <w:rFonts w:ascii="Arial" w:cs="Arial" w:eastAsia="Arial" w:hAnsi="Arial"/>
          <w:sz w:val="16"/>
          <w:szCs w:val="16"/>
          <w:color w:val="auto"/>
        </w:rPr>
        <w:t>) and clause 35.4 (</w:t>
      </w:r>
      <w:r>
        <w:rPr>
          <w:rFonts w:ascii="Arial" w:cs="Arial" w:eastAsia="Arial" w:hAnsi="Arial"/>
          <w:sz w:val="16"/>
          <w:szCs w:val="16"/>
          <w:i w:val="1"/>
          <w:iCs w:val="1"/>
          <w:color w:val="auto"/>
        </w:rPr>
        <w:t>Clawback and pre-funding</w:t>
      </w:r>
      <w:r>
        <w:rPr>
          <w:rFonts w:ascii="Arial" w:cs="Arial" w:eastAsia="Arial" w:hAnsi="Arial"/>
          <w:sz w:val="16"/>
          <w:szCs w:val="16"/>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5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6"/>
          <w:szCs w:val="16"/>
          <w:b w:val="1"/>
          <w:bCs w:val="1"/>
          <w:color w:val="auto"/>
        </w:rPr>
        <w:t>Distributions to an Obligor</w:t>
      </w:r>
    </w:p>
    <w:p>
      <w:pPr>
        <w:spacing w:after="0" w:line="229"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color w:val="auto"/>
        </w:rPr>
        <w:t>The Agent may (with the consent of the Obligor or in accordance with clause 36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b w:val="1"/>
          <w:bCs w:val="1"/>
          <w:color w:val="auto"/>
        </w:rPr>
        <w:t>Clawback and pre-funding</w:t>
      </w:r>
    </w:p>
    <w:p>
      <w:pPr>
        <w:spacing w:after="0" w:line="229" w:lineRule="exact"/>
        <w:rPr>
          <w:sz w:val="20"/>
          <w:szCs w:val="20"/>
          <w:color w:val="auto"/>
        </w:rPr>
      </w:pPr>
    </w:p>
    <w:p>
      <w:pPr>
        <w:ind w:left="1040" w:right="40" w:hanging="526"/>
        <w:spacing w:after="0" w:line="263" w:lineRule="auto"/>
        <w:tabs>
          <w:tab w:leader="none" w:pos="1032" w:val="left"/>
        </w:tabs>
        <w:numPr>
          <w:ilvl w:val="0"/>
          <w:numId w:val="515"/>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3" w:lineRule="exact"/>
        <w:rPr>
          <w:rFonts w:ascii="Arial" w:cs="Arial" w:eastAsia="Arial" w:hAnsi="Arial"/>
          <w:sz w:val="18"/>
          <w:szCs w:val="18"/>
          <w:color w:val="auto"/>
        </w:rPr>
      </w:pPr>
    </w:p>
    <w:p>
      <w:pPr>
        <w:ind w:left="1040" w:right="80" w:hanging="526"/>
        <w:spacing w:after="0" w:line="259" w:lineRule="auto"/>
        <w:tabs>
          <w:tab w:leader="none" w:pos="1042" w:val="left"/>
        </w:tabs>
        <w:numPr>
          <w:ilvl w:val="0"/>
          <w:numId w:val="515"/>
        </w:numPr>
        <w:rPr>
          <w:rFonts w:ascii="Arial" w:cs="Arial" w:eastAsia="Arial" w:hAnsi="Arial"/>
          <w:sz w:val="18"/>
          <w:szCs w:val="18"/>
          <w:color w:val="auto"/>
        </w:rPr>
      </w:pPr>
      <w:r>
        <w:rPr>
          <w:rFonts w:ascii="Arial" w:cs="Arial" w:eastAsia="Arial" w:hAnsi="Arial"/>
          <w:sz w:val="18"/>
          <w:szCs w:val="18"/>
          <w:color w:val="auto"/>
        </w:rPr>
        <w:t>Unless clause 35.4(c)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6" w:lineRule="exact"/>
        <w:rPr>
          <w:rFonts w:ascii="Arial" w:cs="Arial" w:eastAsia="Arial" w:hAnsi="Arial"/>
          <w:sz w:val="18"/>
          <w:szCs w:val="18"/>
          <w:color w:val="auto"/>
        </w:rPr>
      </w:pPr>
    </w:p>
    <w:p>
      <w:pPr>
        <w:ind w:left="1040" w:hanging="526"/>
        <w:spacing w:after="0" w:line="311" w:lineRule="auto"/>
        <w:tabs>
          <w:tab w:leader="none" w:pos="1045"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If the Agent has notified the Lenders that, pursuant to the Borrower’s request, it is willing to make available amounts for the account of the Borrower before receiving funds from the Lenders, and such Lenders and the Borrower agree, then if and to the extent that the Agent does so but it proves to be the case that it does not then receive funds from a Lender in respect of a sum which it paid to the Borrower:</w:t>
      </w:r>
    </w:p>
    <w:p>
      <w:pPr>
        <w:spacing w:after="0" w:line="148" w:lineRule="exact"/>
        <w:rPr>
          <w:rFonts w:ascii="Arial" w:cs="Arial" w:eastAsia="Arial" w:hAnsi="Arial"/>
          <w:sz w:val="16"/>
          <w:szCs w:val="16"/>
          <w:color w:val="auto"/>
        </w:rPr>
      </w:pPr>
    </w:p>
    <w:p>
      <w:pPr>
        <w:ind w:left="1560" w:hanging="528"/>
        <w:spacing w:after="0"/>
        <w:tabs>
          <w:tab w:leader="none" w:pos="15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25" w:lineRule="exact"/>
        <w:rPr>
          <w:rFonts w:ascii="Arial" w:cs="Arial" w:eastAsia="Arial" w:hAnsi="Arial"/>
          <w:sz w:val="18"/>
          <w:szCs w:val="18"/>
          <w:color w:val="auto"/>
        </w:rPr>
      </w:pPr>
    </w:p>
    <w:p>
      <w:pPr>
        <w:jc w:val="both"/>
        <w:ind w:left="1540" w:right="20" w:hanging="508"/>
        <w:spacing w:after="0" w:line="263" w:lineRule="auto"/>
        <w:tabs>
          <w:tab w:leader="none" w:pos="1565"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b w:val="1"/>
          <w:bCs w:val="1"/>
          <w:color w:val="auto"/>
        </w:rPr>
        <w:t>Partial payments</w:t>
      </w:r>
    </w:p>
    <w:p>
      <w:pPr>
        <w:spacing w:after="0" w:line="229" w:lineRule="exact"/>
        <w:rPr>
          <w:sz w:val="20"/>
          <w:szCs w:val="20"/>
          <w:color w:val="auto"/>
        </w:rPr>
      </w:pPr>
    </w:p>
    <w:p>
      <w:pPr>
        <w:jc w:val="both"/>
        <w:ind w:left="1040" w:right="60" w:hanging="526"/>
        <w:spacing w:after="0" w:line="263" w:lineRule="auto"/>
        <w:tabs>
          <w:tab w:leader="none" w:pos="1032"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80" w:lineRule="exact"/>
        <w:rPr>
          <w:sz w:val="20"/>
          <w:szCs w:val="20"/>
          <w:color w:val="auto"/>
        </w:rPr>
      </w:pPr>
    </w:p>
    <w:p>
      <w:pPr>
        <w:ind w:left="1540" w:right="500" w:hanging="508"/>
        <w:spacing w:after="0" w:line="282" w:lineRule="auto"/>
        <w:tabs>
          <w:tab w:leader="none" w:pos="1555" w:val="left"/>
        </w:tabs>
        <w:numPr>
          <w:ilvl w:val="0"/>
          <w:numId w:val="51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 under those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9" w:name="page380"/>
    <w:bookmarkEnd w:id="379"/>
    <w:p>
      <w:pPr>
        <w:ind w:left="1540" w:right="60" w:hanging="508"/>
        <w:spacing w:after="0" w:line="266" w:lineRule="auto"/>
        <w:tabs>
          <w:tab w:leader="none" w:pos="1565"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32.11 (</w:t>
      </w:r>
      <w:r>
        <w:rPr>
          <w:rFonts w:ascii="Arial" w:cs="Arial" w:eastAsia="Arial" w:hAnsi="Arial"/>
          <w:sz w:val="18"/>
          <w:szCs w:val="18"/>
          <w:i w:val="1"/>
          <w:iCs w:val="1"/>
          <w:color w:val="auto"/>
        </w:rPr>
        <w:t>Lenders’ indemnity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the Agent</w:t>
      </w:r>
      <w:r>
        <w:rPr>
          <w:rFonts w:ascii="Arial" w:cs="Arial" w:eastAsia="Arial" w:hAnsi="Arial"/>
          <w:sz w:val="18"/>
          <w:szCs w:val="18"/>
          <w:color w:val="auto"/>
        </w:rPr>
        <w:t>) including any amount resulting from the indemnity to the Security Agent under clause 32.21(a)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1540" w:right="100" w:hanging="508"/>
        <w:spacing w:after="0" w:line="282" w:lineRule="auto"/>
        <w:tabs>
          <w:tab w:leader="none" w:pos="1574"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of any accrued interest or fee due but unpaid under those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Hedging Contracts);</w:t>
      </w:r>
    </w:p>
    <w:p>
      <w:pPr>
        <w:spacing w:after="0" w:line="161" w:lineRule="exact"/>
        <w:rPr>
          <w:rFonts w:ascii="Arial" w:cs="Arial" w:eastAsia="Arial" w:hAnsi="Arial"/>
          <w:sz w:val="18"/>
          <w:szCs w:val="18"/>
          <w:color w:val="auto"/>
        </w:rPr>
      </w:pPr>
    </w:p>
    <w:p>
      <w:pPr>
        <w:ind w:left="1540" w:right="780" w:hanging="508"/>
        <w:spacing w:after="0" w:line="282" w:lineRule="auto"/>
        <w:tabs>
          <w:tab w:leader="none" w:pos="1550"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(excluding Hedging Contracts);</w:t>
      </w:r>
    </w:p>
    <w:p>
      <w:pPr>
        <w:spacing w:after="0" w:line="161" w:lineRule="exact"/>
        <w:rPr>
          <w:rFonts w:ascii="Arial" w:cs="Arial" w:eastAsia="Arial" w:hAnsi="Arial"/>
          <w:sz w:val="18"/>
          <w:szCs w:val="18"/>
          <w:color w:val="auto"/>
        </w:rPr>
      </w:pPr>
    </w:p>
    <w:p>
      <w:pPr>
        <w:ind w:left="1540" w:right="540" w:hanging="508"/>
        <w:spacing w:after="0" w:line="282" w:lineRule="auto"/>
        <w:tabs>
          <w:tab w:leader="none" w:pos="1541"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 to the Hedging Providers pro rata of any net amounts due to them but unpaid under the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and</w:t>
      </w:r>
    </w:p>
    <w:p>
      <w:pPr>
        <w:spacing w:after="0" w:line="161" w:lineRule="exact"/>
        <w:rPr>
          <w:rFonts w:ascii="Arial" w:cs="Arial" w:eastAsia="Arial" w:hAnsi="Arial"/>
          <w:sz w:val="18"/>
          <w:szCs w:val="18"/>
          <w:color w:val="auto"/>
        </w:rPr>
      </w:pPr>
    </w:p>
    <w:p>
      <w:pPr>
        <w:ind w:left="1540" w:hanging="508"/>
        <w:spacing w:after="0"/>
        <w:tabs>
          <w:tab w:leader="none" w:pos="1540" w:val="left"/>
        </w:tabs>
        <w:numPr>
          <w:ilvl w:val="1"/>
          <w:numId w:val="518"/>
        </w:numPr>
        <w:rPr>
          <w:rFonts w:ascii="Arial" w:cs="Arial" w:eastAsia="Arial" w:hAnsi="Arial"/>
          <w:sz w:val="17"/>
          <w:szCs w:val="17"/>
          <w:color w:val="auto"/>
        </w:rPr>
      </w:pPr>
      <w:r>
        <w:rPr>
          <w:rFonts w:ascii="Arial" w:cs="Arial" w:eastAsia="Arial" w:hAnsi="Arial"/>
          <w:sz w:val="17"/>
          <w:szCs w:val="17"/>
          <w:b w:val="1"/>
          <w:bCs w:val="1"/>
          <w:color w:val="auto"/>
        </w:rPr>
        <w:t>sixthly</w:t>
      </w:r>
      <w:r>
        <w:rPr>
          <w:rFonts w:ascii="Arial" w:cs="Arial" w:eastAsia="Arial" w:hAnsi="Arial"/>
          <w:sz w:val="17"/>
          <w:szCs w:val="17"/>
          <w:color w:val="auto"/>
        </w:rPr>
        <w:t>, in or towards payment pro rata of any other sum due but unpaid to the Finance Parties under the Finance Documents.</w:t>
      </w:r>
    </w:p>
    <w:p>
      <w:pPr>
        <w:spacing w:after="0" w:line="240" w:lineRule="exact"/>
        <w:rPr>
          <w:rFonts w:ascii="Arial" w:cs="Arial" w:eastAsia="Arial" w:hAnsi="Arial"/>
          <w:sz w:val="17"/>
          <w:szCs w:val="17"/>
          <w:color w:val="auto"/>
        </w:rPr>
      </w:pPr>
    </w:p>
    <w:p>
      <w:pPr>
        <w:ind w:left="1040" w:hanging="526"/>
        <w:spacing w:after="0"/>
        <w:tabs>
          <w:tab w:leader="none" w:pos="104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The Agent shall, if so directed by all the Lenders and each Hedging Provider, vary the order set out in paragraphs (i) to (vi) of clause 35.5(a).</w:t>
      </w:r>
    </w:p>
    <w:p>
      <w:pPr>
        <w:spacing w:after="0" w:line="248" w:lineRule="exact"/>
        <w:rPr>
          <w:rFonts w:ascii="Arial" w:cs="Arial" w:eastAsia="Arial" w:hAnsi="Arial"/>
          <w:sz w:val="16"/>
          <w:szCs w:val="16"/>
          <w:color w:val="auto"/>
        </w:rPr>
      </w:pPr>
    </w:p>
    <w:p>
      <w:pPr>
        <w:ind w:left="1040" w:hanging="526"/>
        <w:spacing w:after="0"/>
        <w:tabs>
          <w:tab w:leader="none" w:pos="10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Clauses 35.5(a) and 35.5(b) above will override any appropriation made by an Obligor.</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35.6</w:t>
      </w:r>
      <w:r>
        <w:rPr>
          <w:sz w:val="20"/>
          <w:szCs w:val="20"/>
          <w:color w:val="auto"/>
        </w:rPr>
        <w:tab/>
      </w:r>
      <w:r>
        <w:rPr>
          <w:rFonts w:ascii="Arial" w:cs="Arial" w:eastAsia="Arial" w:hAnsi="Arial"/>
          <w:sz w:val="15"/>
          <w:szCs w:val="15"/>
          <w:b w:val="1"/>
          <w:bCs w:val="1"/>
          <w:color w:val="auto"/>
        </w:rPr>
        <w:t>No set-off by Obligors</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5"/>
          <w:szCs w:val="15"/>
          <w:b w:val="1"/>
          <w:bCs w:val="1"/>
          <w:color w:val="auto"/>
        </w:rPr>
        <w:t>Business Days</w:t>
      </w:r>
    </w:p>
    <w:p>
      <w:pPr>
        <w:spacing w:after="0" w:line="229" w:lineRule="exact"/>
        <w:rPr>
          <w:sz w:val="20"/>
          <w:szCs w:val="20"/>
          <w:color w:val="auto"/>
        </w:rPr>
      </w:pPr>
    </w:p>
    <w:p>
      <w:pPr>
        <w:ind w:left="1040" w:right="420" w:hanging="526"/>
        <w:spacing w:after="0" w:line="277" w:lineRule="auto"/>
        <w:tabs>
          <w:tab w:leader="none" w:pos="103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70" w:lineRule="exact"/>
        <w:rPr>
          <w:rFonts w:ascii="Arial" w:cs="Arial" w:eastAsia="Arial" w:hAnsi="Arial"/>
          <w:sz w:val="18"/>
          <w:szCs w:val="18"/>
          <w:color w:val="auto"/>
        </w:rPr>
      </w:pPr>
    </w:p>
    <w:p>
      <w:pPr>
        <w:ind w:left="1040" w:right="140" w:hanging="526"/>
        <w:spacing w:after="0" w:line="277" w:lineRule="auto"/>
        <w:tabs>
          <w:tab w:leader="none" w:pos="104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35.8</w:t>
      </w:r>
      <w:r>
        <w:rPr>
          <w:sz w:val="20"/>
          <w:szCs w:val="20"/>
          <w:color w:val="auto"/>
        </w:rPr>
        <w:tab/>
      </w:r>
      <w:r>
        <w:rPr>
          <w:rFonts w:ascii="Arial" w:cs="Arial" w:eastAsia="Arial" w:hAnsi="Arial"/>
          <w:sz w:val="15"/>
          <w:szCs w:val="15"/>
          <w:b w:val="1"/>
          <w:bCs w:val="1"/>
          <w:color w:val="auto"/>
        </w:rPr>
        <w:t>Payments on demand</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For the purposes of clause 29.1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35.9</w:t>
      </w:r>
      <w:r>
        <w:rPr>
          <w:sz w:val="20"/>
          <w:szCs w:val="20"/>
          <w:color w:val="auto"/>
        </w:rPr>
        <w:tab/>
      </w:r>
      <w:r>
        <w:rPr>
          <w:rFonts w:ascii="Arial" w:cs="Arial" w:eastAsia="Arial" w:hAnsi="Arial"/>
          <w:sz w:val="16"/>
          <w:szCs w:val="16"/>
          <w:b w:val="1"/>
          <w:bCs w:val="1"/>
          <w:color w:val="auto"/>
        </w:rPr>
        <w:t>Currency of account</w:t>
      </w:r>
    </w:p>
    <w:p>
      <w:pPr>
        <w:spacing w:after="0" w:line="229" w:lineRule="exact"/>
        <w:rPr>
          <w:sz w:val="20"/>
          <w:szCs w:val="20"/>
          <w:color w:val="auto"/>
        </w:rPr>
      </w:pPr>
    </w:p>
    <w:p>
      <w:pPr>
        <w:ind w:left="1040" w:right="320" w:hanging="526"/>
        <w:spacing w:after="0" w:line="277" w:lineRule="auto"/>
        <w:tabs>
          <w:tab w:leader="none" w:pos="103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Subject to clauses 35.9(b) to 35.9(c), dollars is the currency of account and payment for any sum due from an Obligor under any Finance Document.</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25" w:lineRule="exact"/>
        <w:rPr>
          <w:rFonts w:ascii="Arial" w:cs="Arial" w:eastAsia="Arial" w:hAnsi="Arial"/>
          <w:sz w:val="18"/>
          <w:szCs w:val="18"/>
          <w:color w:val="auto"/>
        </w:rPr>
      </w:pPr>
    </w:p>
    <w:p>
      <w:pPr>
        <w:ind w:left="1040" w:hanging="526"/>
        <w:spacing w:after="0" w:line="263" w:lineRule="auto"/>
        <w:tabs>
          <w:tab w:leader="none" w:pos="1045"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183" w:lineRule="exact"/>
        <w:rPr>
          <w:rFonts w:ascii="Arial" w:cs="Arial" w:eastAsia="Arial" w:hAnsi="Arial"/>
          <w:sz w:val="18"/>
          <w:szCs w:val="18"/>
          <w:color w:val="auto"/>
        </w:rPr>
      </w:pPr>
    </w:p>
    <w:p>
      <w:pPr>
        <w:ind w:left="1040" w:right="60" w:hanging="526"/>
        <w:spacing w:after="0" w:line="277" w:lineRule="auto"/>
        <w:tabs>
          <w:tab w:leader="none" w:pos="104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80" w:name="page381"/>
    <w:bookmarkEnd w:id="380"/>
    <w:p>
      <w:pPr>
        <w:jc w:val="both"/>
        <w:ind w:left="1040" w:right="80"/>
        <w:spacing w:after="0" w:line="342" w:lineRule="auto"/>
        <w:rPr>
          <w:sz w:val="20"/>
          <w:szCs w:val="20"/>
          <w:color w:val="auto"/>
        </w:rPr>
      </w:pPr>
      <w:r>
        <w:rPr>
          <w:rFonts w:ascii="Arial" w:cs="Arial" w:eastAsia="Arial" w:hAnsi="Arial"/>
          <w:sz w:val="16"/>
          <w:szCs w:val="16"/>
          <w:color w:val="auto"/>
        </w:rPr>
        <w:t>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35.10 Change of currency</w:t>
      </w:r>
    </w:p>
    <w:p>
      <w:pPr>
        <w:spacing w:after="0" w:line="229" w:lineRule="exact"/>
        <w:rPr>
          <w:sz w:val="20"/>
          <w:szCs w:val="20"/>
          <w:color w:val="auto"/>
        </w:rPr>
      </w:pPr>
    </w:p>
    <w:p>
      <w:pPr>
        <w:ind w:left="1040" w:right="300" w:hanging="526"/>
        <w:spacing w:after="0" w:line="277" w:lineRule="auto"/>
        <w:tabs>
          <w:tab w:leader="none" w:pos="103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0" w:lineRule="exact"/>
        <w:rPr>
          <w:rFonts w:ascii="Arial" w:cs="Arial" w:eastAsia="Arial" w:hAnsi="Arial"/>
          <w:sz w:val="18"/>
          <w:szCs w:val="18"/>
          <w:color w:val="auto"/>
        </w:rPr>
      </w:pPr>
    </w:p>
    <w:p>
      <w:pPr>
        <w:ind w:left="1540" w:right="80" w:hanging="508"/>
        <w:spacing w:after="0" w:line="263" w:lineRule="auto"/>
        <w:tabs>
          <w:tab w:leader="none" w:pos="1555" w:val="left"/>
        </w:tabs>
        <w:numPr>
          <w:ilvl w:val="1"/>
          <w:numId w:val="522"/>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83" w:lineRule="exact"/>
        <w:rPr>
          <w:rFonts w:ascii="Arial" w:cs="Arial" w:eastAsia="Arial" w:hAnsi="Arial"/>
          <w:sz w:val="18"/>
          <w:szCs w:val="18"/>
          <w:color w:val="auto"/>
        </w:rPr>
      </w:pPr>
    </w:p>
    <w:p>
      <w:pPr>
        <w:ind w:left="1540" w:right="180" w:hanging="508"/>
        <w:spacing w:after="0" w:line="308" w:lineRule="auto"/>
        <w:tabs>
          <w:tab w:leader="none" w:pos="1565" w:val="left"/>
        </w:tabs>
        <w:numPr>
          <w:ilvl w:val="1"/>
          <w:numId w:val="522"/>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46" w:lineRule="exact"/>
        <w:rPr>
          <w:rFonts w:ascii="Arial" w:cs="Arial" w:eastAsia="Arial" w:hAnsi="Arial"/>
          <w:sz w:val="17"/>
          <w:szCs w:val="17"/>
          <w:color w:val="auto"/>
        </w:rPr>
      </w:pPr>
    </w:p>
    <w:p>
      <w:pPr>
        <w:ind w:left="1040" w:right="20" w:hanging="526"/>
        <w:spacing w:after="0" w:line="263" w:lineRule="auto"/>
        <w:tabs>
          <w:tab w:leader="none" w:pos="104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Interbank Market and otherwise to reflect the change in currency.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35.11 Disruption to Payment Systems etc.</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either the Agent determines (in its discretion) that a Payment Disruption Event has occurred or the Agent is notified by the Borrower that 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Payment Disruption Event has occurred:</w:t>
      </w:r>
    </w:p>
    <w:p>
      <w:pPr>
        <w:spacing w:after="0" w:line="211" w:lineRule="exact"/>
        <w:rPr>
          <w:sz w:val="20"/>
          <w:szCs w:val="20"/>
          <w:color w:val="auto"/>
        </w:rPr>
      </w:pPr>
    </w:p>
    <w:p>
      <w:pPr>
        <w:ind w:left="1040" w:right="240" w:hanging="526"/>
        <w:spacing w:after="0" w:line="308" w:lineRule="auto"/>
        <w:tabs>
          <w:tab w:leader="none" w:pos="1032"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46" w:lineRule="exact"/>
        <w:rPr>
          <w:rFonts w:ascii="Arial" w:cs="Arial" w:eastAsia="Arial" w:hAnsi="Arial"/>
          <w:sz w:val="17"/>
          <w:szCs w:val="17"/>
          <w:color w:val="auto"/>
        </w:rPr>
      </w:pPr>
    </w:p>
    <w:p>
      <w:pPr>
        <w:ind w:left="1040" w:hanging="526"/>
        <w:spacing w:after="0" w:line="277" w:lineRule="auto"/>
        <w:tabs>
          <w:tab w:leader="none" w:pos="104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70" w:lineRule="exact"/>
        <w:rPr>
          <w:rFonts w:ascii="Arial" w:cs="Arial" w:eastAsia="Arial" w:hAnsi="Arial"/>
          <w:sz w:val="18"/>
          <w:szCs w:val="18"/>
          <w:color w:val="auto"/>
        </w:rPr>
      </w:pPr>
    </w:p>
    <w:p>
      <w:pPr>
        <w:ind w:left="1040" w:right="60" w:hanging="526"/>
        <w:spacing w:after="0" w:line="277" w:lineRule="auto"/>
        <w:tabs>
          <w:tab w:leader="none" w:pos="1045"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70" w:lineRule="exact"/>
        <w:rPr>
          <w:rFonts w:ascii="Arial" w:cs="Arial" w:eastAsia="Arial" w:hAnsi="Arial"/>
          <w:sz w:val="18"/>
          <w:szCs w:val="18"/>
          <w:color w:val="auto"/>
        </w:rPr>
      </w:pPr>
    </w:p>
    <w:p>
      <w:pPr>
        <w:ind w:left="1040" w:right="100" w:hanging="526"/>
        <w:spacing w:after="0" w:line="263" w:lineRule="auto"/>
        <w:tabs>
          <w:tab w:leader="none" w:pos="1042"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Payment Disruption Event has occurred) be binding upon the Parties as an amendment to (or, as the case may be, waiver of) the terms of the Finance Documents notwithstanding the provisions of clause 41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40" w:right="180" w:hanging="526"/>
        <w:spacing w:after="0" w:line="311" w:lineRule="auto"/>
        <w:tabs>
          <w:tab w:leader="none" w:pos="1045" w:val="left"/>
        </w:tabs>
        <w:numPr>
          <w:ilvl w:val="0"/>
          <w:numId w:val="523"/>
        </w:numPr>
        <w:rPr>
          <w:rFonts w:ascii="Arial" w:cs="Arial" w:eastAsia="Arial" w:hAnsi="Arial"/>
          <w:sz w:val="16"/>
          <w:szCs w:val="16"/>
          <w:color w:val="auto"/>
        </w:rPr>
      </w:pPr>
      <w:r>
        <w:rPr>
          <w:rFonts w:ascii="Arial" w:cs="Arial" w:eastAsia="Arial" w:hAnsi="Arial"/>
          <w:sz w:val="16"/>
          <w:szCs w:val="16"/>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35.11; and</w:t>
      </w:r>
    </w:p>
    <w:p>
      <w:pPr>
        <w:spacing w:after="0" w:line="148" w:lineRule="exact"/>
        <w:rPr>
          <w:rFonts w:ascii="Arial" w:cs="Arial" w:eastAsia="Arial" w:hAnsi="Arial"/>
          <w:sz w:val="16"/>
          <w:szCs w:val="16"/>
          <w:color w:val="auto"/>
        </w:rPr>
      </w:pPr>
    </w:p>
    <w:p>
      <w:pPr>
        <w:ind w:left="1040" w:hanging="526"/>
        <w:spacing w:after="0"/>
        <w:tabs>
          <w:tab w:leader="none" w:pos="10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color w:val="auto"/>
        </w:rPr>
        <w:t>35.12 Impaired Agent</w:t>
      </w:r>
    </w:p>
    <w:p>
      <w:pPr>
        <w:spacing w:after="0" w:line="229" w:lineRule="exact"/>
        <w:rPr>
          <w:sz w:val="20"/>
          <w:szCs w:val="20"/>
          <w:color w:val="auto"/>
        </w:rPr>
      </w:pPr>
    </w:p>
    <w:p>
      <w:pPr>
        <w:ind w:left="1040" w:right="180" w:hanging="526"/>
        <w:spacing w:after="0" w:line="293" w:lineRule="auto"/>
        <w:tabs>
          <w:tab w:leader="none" w:pos="1032" w:val="left"/>
        </w:tabs>
        <w:numPr>
          <w:ilvl w:val="0"/>
          <w:numId w:val="524"/>
        </w:numPr>
        <w:rPr>
          <w:rFonts w:ascii="Arial" w:cs="Arial" w:eastAsia="Arial" w:hAnsi="Arial"/>
          <w:sz w:val="16"/>
          <w:szCs w:val="16"/>
          <w:color w:val="auto"/>
        </w:rPr>
      </w:pPr>
      <w:r>
        <w:rPr>
          <w:rFonts w:ascii="Arial" w:cs="Arial" w:eastAsia="Arial" w:hAnsi="Arial"/>
          <w:sz w:val="16"/>
          <w:szCs w:val="16"/>
          <w:color w:val="auto"/>
        </w:rPr>
        <w:t>If, at any time, the Agent becomes an Impaired Agent, an Obligor or a Lender which is required to make a payment under the Finance Documents to the Agent in accordance with clause 35.1 (</w:t>
      </w:r>
      <w:r>
        <w:rPr>
          <w:rFonts w:ascii="Arial" w:cs="Arial" w:eastAsia="Arial" w:hAnsi="Arial"/>
          <w:sz w:val="16"/>
          <w:szCs w:val="16"/>
          <w:i w:val="1"/>
          <w:iCs w:val="1"/>
          <w:color w:val="auto"/>
        </w:rPr>
        <w:t>Payments to the Agent</w:t>
      </w:r>
      <w:r>
        <w:rPr>
          <w:rFonts w:ascii="Arial" w:cs="Arial" w:eastAsia="Arial" w:hAnsi="Arial"/>
          <w:sz w:val="16"/>
          <w:szCs w:val="16"/>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6"/>
          <w:szCs w:val="16"/>
          <w:b w:val="1"/>
          <w:bCs w:val="1"/>
          <w:color w:val="auto"/>
        </w:rPr>
        <w:t>Acceptable Bank</w:t>
      </w:r>
      <w:r>
        <w:rPr>
          <w:rFonts w:ascii="Arial" w:cs="Arial" w:eastAsia="Arial" w:hAnsi="Arial"/>
          <w:sz w:val="16"/>
          <w:szCs w:val="16"/>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64" w:lineRule="exact"/>
        <w:rPr>
          <w:rFonts w:ascii="Arial" w:cs="Arial" w:eastAsia="Arial" w:hAnsi="Arial"/>
          <w:sz w:val="16"/>
          <w:szCs w:val="16"/>
          <w:color w:val="auto"/>
        </w:rPr>
      </w:pPr>
    </w:p>
    <w:p>
      <w:pPr>
        <w:ind w:left="1040" w:right="140" w:hanging="526"/>
        <w:spacing w:after="0" w:line="277" w:lineRule="auto"/>
        <w:tabs>
          <w:tab w:leader="none" w:pos="104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70" w:lineRule="exact"/>
        <w:rPr>
          <w:rFonts w:ascii="Arial" w:cs="Arial" w:eastAsia="Arial" w:hAnsi="Arial"/>
          <w:sz w:val="18"/>
          <w:szCs w:val="18"/>
          <w:color w:val="auto"/>
        </w:rPr>
      </w:pPr>
    </w:p>
    <w:p>
      <w:pPr>
        <w:jc w:val="both"/>
        <w:ind w:left="1040" w:right="420" w:hanging="526"/>
        <w:spacing w:after="0" w:line="263" w:lineRule="auto"/>
        <w:tabs>
          <w:tab w:leader="none" w:pos="1045"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83" w:lineRule="exact"/>
        <w:rPr>
          <w:rFonts w:ascii="Arial" w:cs="Arial" w:eastAsia="Arial" w:hAnsi="Arial"/>
          <w:sz w:val="18"/>
          <w:szCs w:val="18"/>
          <w:color w:val="auto"/>
        </w:rPr>
      </w:pPr>
    </w:p>
    <w:p>
      <w:pPr>
        <w:ind w:left="1040" w:right="340" w:hanging="526"/>
        <w:spacing w:after="0" w:line="259" w:lineRule="auto"/>
        <w:tabs>
          <w:tab w:leader="none" w:pos="1042" w:val="left"/>
        </w:tabs>
        <w:numPr>
          <w:ilvl w:val="0"/>
          <w:numId w:val="524"/>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32.13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clause 35.1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35.2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35.13 Contractual recognition of bail-in</w:t>
      </w:r>
    </w:p>
    <w:p>
      <w:pPr>
        <w:spacing w:after="0" w:line="229" w:lineRule="exact"/>
        <w:rPr>
          <w:sz w:val="20"/>
          <w:szCs w:val="20"/>
          <w:color w:val="auto"/>
        </w:rPr>
      </w:pPr>
    </w:p>
    <w:p>
      <w:pPr>
        <w:ind w:left="1040" w:right="40" w:hanging="526"/>
        <w:spacing w:after="0" w:line="311" w:lineRule="auto"/>
        <w:tabs>
          <w:tab w:leader="none" w:pos="103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48" w:lineRule="exact"/>
        <w:rPr>
          <w:rFonts w:ascii="Arial" w:cs="Arial" w:eastAsia="Arial" w:hAnsi="Arial"/>
          <w:sz w:val="16"/>
          <w:szCs w:val="16"/>
          <w:color w:val="auto"/>
        </w:rPr>
      </w:pPr>
    </w:p>
    <w:p>
      <w:pPr>
        <w:ind w:left="1560" w:hanging="528"/>
        <w:spacing w:after="0"/>
        <w:tabs>
          <w:tab w:leader="none" w:pos="156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rFonts w:ascii="Arial" w:cs="Arial" w:eastAsia="Arial" w:hAnsi="Arial"/>
          <w:sz w:val="18"/>
          <w:szCs w:val="18"/>
          <w:color w:val="auto"/>
        </w:rPr>
      </w:pPr>
    </w:p>
    <w:p>
      <w:pPr>
        <w:ind w:left="2060" w:hanging="497"/>
        <w:spacing w:after="0" w:line="277" w:lineRule="auto"/>
        <w:tabs>
          <w:tab w:leader="none" w:pos="2074" w:val="left"/>
        </w:tabs>
        <w:numPr>
          <w:ilvl w:val="2"/>
          <w:numId w:val="525"/>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rFonts w:ascii="Arial" w:cs="Arial" w:eastAsia="Arial" w:hAnsi="Arial"/>
          <w:sz w:val="18"/>
          <w:szCs w:val="18"/>
          <w:color w:val="auto"/>
        </w:rPr>
      </w:pPr>
    </w:p>
    <w:p>
      <w:pPr>
        <w:ind w:left="2060" w:right="620" w:hanging="497"/>
        <w:spacing w:after="0" w:line="277" w:lineRule="auto"/>
        <w:tabs>
          <w:tab w:leader="none" w:pos="2064" w:val="left"/>
        </w:tabs>
        <w:numPr>
          <w:ilvl w:val="2"/>
          <w:numId w:val="525"/>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70" w:lineRule="exact"/>
        <w:rPr>
          <w:rFonts w:ascii="Arial" w:cs="Arial" w:eastAsia="Arial" w:hAnsi="Arial"/>
          <w:sz w:val="18"/>
          <w:szCs w:val="18"/>
          <w:color w:val="auto"/>
        </w:rPr>
      </w:pPr>
    </w:p>
    <w:p>
      <w:pPr>
        <w:ind w:left="2080" w:hanging="517"/>
        <w:spacing w:after="0"/>
        <w:tabs>
          <w:tab w:leader="none" w:pos="2080" w:val="left"/>
        </w:tabs>
        <w:numPr>
          <w:ilvl w:val="2"/>
          <w:numId w:val="525"/>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1540" w:right="220" w:hanging="508"/>
        <w:spacing w:after="0" w:line="277" w:lineRule="auto"/>
        <w:tabs>
          <w:tab w:leader="none" w:pos="1565"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221" w:lineRule="exact"/>
        <w:rPr>
          <w:sz w:val="20"/>
          <w:szCs w:val="20"/>
          <w:color w:val="auto"/>
        </w:rPr>
      </w:pPr>
    </w:p>
    <w:p>
      <w:pPr>
        <w:ind w:left="1020" w:right="160"/>
        <w:spacing w:after="0" w:line="282" w:lineRule="auto"/>
        <w:rPr>
          <w:sz w:val="20"/>
          <w:szCs w:val="20"/>
          <w:color w:val="auto"/>
        </w:rPr>
      </w:pPr>
      <w:r>
        <w:rPr>
          <w:rFonts w:ascii="Arial" w:cs="Arial" w:eastAsia="Arial" w:hAnsi="Arial"/>
          <w:sz w:val="18"/>
          <w:szCs w:val="18"/>
          <w:b w:val="1"/>
          <w:bCs w:val="1"/>
          <w:color w:val="auto"/>
        </w:rPr>
        <w:t xml:space="preserve">Article 55 BRRD </w:t>
      </w:r>
      <w:r>
        <w:rPr>
          <w:rFonts w:ascii="Arial" w:cs="Arial" w:eastAsia="Arial" w:hAnsi="Arial"/>
          <w:sz w:val="18"/>
          <w:szCs w:val="18"/>
          <w:color w:val="auto"/>
        </w:rPr>
        <w:t>means Article 55 of Directive 2014/59/EU establishing a framework for the recovery and resolution of credit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investment firms.</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29" w:lineRule="exact"/>
        <w:rPr>
          <w:sz w:val="20"/>
          <w:szCs w:val="20"/>
          <w:color w:val="auto"/>
        </w:rPr>
      </w:pPr>
    </w:p>
    <w:p>
      <w:pPr>
        <w:ind w:left="520" w:right="400" w:hanging="508"/>
        <w:spacing w:after="0" w:line="308" w:lineRule="auto"/>
        <w:tabs>
          <w:tab w:leader="none" w:pos="511" w:val="left"/>
        </w:tabs>
        <w:numPr>
          <w:ilvl w:val="0"/>
          <w:numId w:val="526"/>
        </w:numPr>
        <w:rPr>
          <w:rFonts w:ascii="Arial" w:cs="Arial" w:eastAsia="Arial" w:hAnsi="Arial"/>
          <w:sz w:val="17"/>
          <w:szCs w:val="17"/>
          <w:color w:val="auto"/>
        </w:rPr>
      </w:pPr>
      <w:r>
        <w:rPr>
          <w:rFonts w:ascii="Arial" w:cs="Arial" w:eastAsia="Arial" w:hAnsi="Arial"/>
          <w:sz w:val="17"/>
          <w:szCs w:val="17"/>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146" w:lineRule="exact"/>
        <w:rPr>
          <w:rFonts w:ascii="Arial" w:cs="Arial" w:eastAsia="Arial" w:hAnsi="Arial"/>
          <w:sz w:val="17"/>
          <w:szCs w:val="17"/>
          <w:color w:val="auto"/>
        </w:rPr>
      </w:pPr>
    </w:p>
    <w:p>
      <w:pPr>
        <w:ind w:left="520" w:right="160" w:hanging="508"/>
        <w:spacing w:after="0" w:line="263" w:lineRule="auto"/>
        <w:tabs>
          <w:tab w:leader="none" w:pos="52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UK Bail-In Legislation </w:t>
      </w:r>
      <w:r>
        <w:rPr>
          <w:rFonts w:ascii="Arial" w:cs="Arial" w:eastAsia="Arial" w:hAnsi="Arial"/>
          <w:sz w:val="18"/>
          <w:szCs w:val="18"/>
          <w:color w:val="auto"/>
        </w:rPr>
        <w:t>means (to the extent that the United Kingdom is not an EEA Member Country which has implemented,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w:t>
      </w:r>
      <w:r>
        <w:rPr>
          <w:rFonts w:ascii="Arial" w:cs="Arial" w:eastAsia="Arial" w:hAnsi="Arial"/>
          <w:sz w:val="18"/>
          <w:szCs w:val="18"/>
          <w:b w:val="1"/>
          <w:bCs w:val="1"/>
          <w:color w:val="auto"/>
        </w:rPr>
        <w:t xml:space="preserve"> Conversion Powers </w:t>
      </w:r>
      <w:r>
        <w:rPr>
          <w:rFonts w:ascii="Arial" w:cs="Arial" w:eastAsia="Arial" w:hAnsi="Arial"/>
          <w:sz w:val="18"/>
          <w:szCs w:val="18"/>
          <w:color w:val="auto"/>
        </w:rPr>
        <w:t>means:</w:t>
      </w:r>
    </w:p>
    <w:p>
      <w:pPr>
        <w:spacing w:after="0" w:line="229" w:lineRule="exact"/>
        <w:rPr>
          <w:sz w:val="20"/>
          <w:szCs w:val="20"/>
          <w:color w:val="auto"/>
        </w:rPr>
      </w:pPr>
    </w:p>
    <w:p>
      <w:pPr>
        <w:ind w:left="520" w:hanging="508"/>
        <w:spacing w:after="0" w:line="277" w:lineRule="auto"/>
        <w:tabs>
          <w:tab w:leader="none" w:pos="511"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70" w:lineRule="exact"/>
        <w:rPr>
          <w:rFonts w:ascii="Arial" w:cs="Arial" w:eastAsia="Arial" w:hAnsi="Arial"/>
          <w:sz w:val="18"/>
          <w:szCs w:val="18"/>
          <w:color w:val="auto"/>
        </w:rPr>
      </w:pPr>
    </w:p>
    <w:p>
      <w:pPr>
        <w:ind w:left="520" w:hanging="508"/>
        <w:spacing w:after="0"/>
        <w:tabs>
          <w:tab w:leader="none" w:pos="5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25" w:lineRule="exact"/>
        <w:rPr>
          <w:rFonts w:ascii="Arial" w:cs="Arial" w:eastAsia="Arial" w:hAnsi="Arial"/>
          <w:sz w:val="18"/>
          <w:szCs w:val="18"/>
          <w:color w:val="auto"/>
        </w:rPr>
      </w:pPr>
    </w:p>
    <w:p>
      <w:pPr>
        <w:ind w:left="1040" w:right="20" w:hanging="497"/>
        <w:spacing w:after="0" w:line="293" w:lineRule="auto"/>
        <w:tabs>
          <w:tab w:leader="none" w:pos="1055" w:val="left"/>
        </w:tabs>
        <w:numPr>
          <w:ilvl w:val="1"/>
          <w:numId w:val="527"/>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64" w:lineRule="exact"/>
        <w:rPr>
          <w:rFonts w:ascii="Arial" w:cs="Arial" w:eastAsia="Arial" w:hAnsi="Arial"/>
          <w:sz w:val="16"/>
          <w:szCs w:val="16"/>
          <w:color w:val="auto"/>
        </w:rPr>
      </w:pPr>
    </w:p>
    <w:p>
      <w:pPr>
        <w:ind w:left="1080" w:hanging="537"/>
        <w:spacing w:after="0"/>
        <w:tabs>
          <w:tab w:leader="none" w:pos="108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225" w:lineRule="exact"/>
        <w:rPr>
          <w:rFonts w:ascii="Arial" w:cs="Arial" w:eastAsia="Arial" w:hAnsi="Arial"/>
          <w:sz w:val="18"/>
          <w:szCs w:val="18"/>
          <w:color w:val="auto"/>
        </w:rPr>
      </w:pPr>
    </w:p>
    <w:p>
      <w:pPr>
        <w:ind w:left="520" w:hanging="508"/>
        <w:spacing w:after="0"/>
        <w:tabs>
          <w:tab w:leader="none" w:pos="52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25" w:lineRule="exact"/>
        <w:rPr>
          <w:rFonts w:ascii="Arial" w:cs="Arial" w:eastAsia="Arial" w:hAnsi="Arial"/>
          <w:sz w:val="18"/>
          <w:szCs w:val="18"/>
          <w:color w:val="auto"/>
        </w:rPr>
      </w:pPr>
    </w:p>
    <w:p>
      <w:pPr>
        <w:ind w:left="1040" w:right="40" w:hanging="497"/>
        <w:spacing w:after="0" w:line="296" w:lineRule="auto"/>
        <w:tabs>
          <w:tab w:leader="none" w:pos="1055" w:val="left"/>
        </w:tabs>
        <w:numPr>
          <w:ilvl w:val="1"/>
          <w:numId w:val="527"/>
        </w:numPr>
        <w:rPr>
          <w:rFonts w:ascii="Arial" w:cs="Arial" w:eastAsia="Arial" w:hAnsi="Arial"/>
          <w:sz w:val="16"/>
          <w:szCs w:val="16"/>
          <w:color w:val="auto"/>
        </w:rPr>
      </w:pPr>
      <w:r>
        <w:rPr>
          <w:rFonts w:ascii="Arial" w:cs="Arial" w:eastAsia="Arial" w:hAnsi="Arial"/>
          <w:sz w:val="16"/>
          <w:szCs w:val="16"/>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1340" w:top="337" w:right="339" w:bottom="1440" w:gutter="0" w:footer="0" w:header="0"/>
        </w:sectPr>
      </w:pPr>
    </w:p>
    <w:bookmarkStart w:id="383" w:name="page384"/>
    <w:bookmarkEnd w:id="383"/>
    <w:p>
      <w:pPr>
        <w:ind w:left="2060" w:right="100"/>
        <w:spacing w:after="0" w:line="277" w:lineRule="auto"/>
        <w:rPr>
          <w:sz w:val="20"/>
          <w:szCs w:val="20"/>
          <w:color w:val="auto"/>
        </w:rPr>
      </w:pPr>
      <w:r>
        <w:rPr>
          <w:rFonts w:ascii="Arial" w:cs="Arial" w:eastAsia="Arial" w:hAnsi="Arial"/>
          <w:sz w:val="18"/>
          <w:szCs w:val="18"/>
          <w:color w:val="auto"/>
        </w:rPr>
        <w:t>in respect of that liability or any of the powers under that UK Bail-In Legislation that are related to or ancillary to any of those powers; and</w:t>
      </w:r>
    </w:p>
    <w:p>
      <w:pPr>
        <w:spacing w:after="0" w:line="170" w:lineRule="exact"/>
        <w:rPr>
          <w:sz w:val="20"/>
          <w:szCs w:val="20"/>
          <w:color w:val="auto"/>
        </w:rPr>
      </w:pPr>
    </w:p>
    <w:p>
      <w:pPr>
        <w:ind w:left="2100" w:hanging="537"/>
        <w:spacing w:after="0"/>
        <w:tabs>
          <w:tab w:leader="none" w:pos="21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21" w:lineRule="exact"/>
        <w:rPr>
          <w:sz w:val="20"/>
          <w:szCs w:val="20"/>
          <w:color w:val="auto"/>
        </w:rPr>
      </w:pPr>
    </w:p>
    <w:p>
      <w:pPr>
        <w:ind w:left="520" w:hanging="512"/>
        <w:spacing w:after="0"/>
        <w:tabs>
          <w:tab w:leader="none" w:pos="52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29" w:lineRule="exact"/>
        <w:rPr>
          <w:rFonts w:ascii="Arial" w:cs="Arial" w:eastAsia="Arial" w:hAnsi="Arial"/>
          <w:sz w:val="18"/>
          <w:szCs w:val="18"/>
          <w:b w:val="1"/>
          <w:bCs w:val="1"/>
          <w:color w:val="auto"/>
        </w:rPr>
      </w:pPr>
    </w:p>
    <w:p>
      <w:pPr>
        <w:ind w:left="52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88" w:lineRule="exact"/>
        <w:rPr>
          <w:rFonts w:ascii="Arial" w:cs="Arial" w:eastAsia="Arial" w:hAnsi="Arial"/>
          <w:sz w:val="18"/>
          <w:szCs w:val="18"/>
          <w:b w:val="1"/>
          <w:bCs w:val="1"/>
          <w:color w:val="auto"/>
        </w:rPr>
      </w:pPr>
    </w:p>
    <w:p>
      <w:pPr>
        <w:ind w:left="520" w:hanging="512"/>
        <w:spacing w:after="0"/>
        <w:tabs>
          <w:tab w:leader="none" w:pos="52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b w:val="1"/>
          <w:bCs w:val="1"/>
          <w:color w:val="auto"/>
        </w:rPr>
        <w:t>Communications in writing</w:t>
      </w:r>
    </w:p>
    <w:p>
      <w:pPr>
        <w:spacing w:after="0" w:line="229" w:lineRule="exact"/>
        <w:rPr>
          <w:sz w:val="20"/>
          <w:szCs w:val="20"/>
          <w:color w:val="auto"/>
        </w:rPr>
      </w:pPr>
    </w:p>
    <w:p>
      <w:pPr>
        <w:ind w:left="1040" w:right="240" w:hanging="526"/>
        <w:spacing w:after="0" w:line="277" w:lineRule="auto"/>
        <w:tabs>
          <w:tab w:leader="none" w:pos="103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70" w:lineRule="exact"/>
        <w:rPr>
          <w:rFonts w:ascii="Arial" w:cs="Arial" w:eastAsia="Arial" w:hAnsi="Arial"/>
          <w:sz w:val="18"/>
          <w:szCs w:val="18"/>
          <w:color w:val="auto"/>
        </w:rPr>
      </w:pPr>
    </w:p>
    <w:p>
      <w:pPr>
        <w:ind w:left="1040" w:hanging="526"/>
        <w:spacing w:after="0" w:line="277" w:lineRule="auto"/>
        <w:tabs>
          <w:tab w:leader="none" w:pos="104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Each Finance Party may rely on any representation, communication, notice or document received from or made by any Obligor believed by it to be genuine, correct and appropriately authorised.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3"/>
          <w:szCs w:val="13"/>
          <w:b w:val="1"/>
          <w:bCs w:val="1"/>
          <w:color w:val="auto"/>
        </w:rPr>
        <w:t>Addresses</w:t>
      </w:r>
    </w:p>
    <w:p>
      <w:pPr>
        <w:spacing w:after="0" w:line="229"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70" w:lineRule="exact"/>
        <w:rPr>
          <w:sz w:val="20"/>
          <w:szCs w:val="20"/>
          <w:color w:val="auto"/>
        </w:rPr>
      </w:pPr>
    </w:p>
    <w:p>
      <w:pPr>
        <w:ind w:left="1020" w:hanging="506"/>
        <w:spacing w:after="0"/>
        <w:tabs>
          <w:tab w:leader="none" w:pos="10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25" w:lineRule="exact"/>
        <w:rPr>
          <w:rFonts w:ascii="Arial" w:cs="Arial" w:eastAsia="Arial" w:hAnsi="Arial"/>
          <w:sz w:val="18"/>
          <w:szCs w:val="18"/>
          <w:color w:val="auto"/>
        </w:rPr>
      </w:pPr>
    </w:p>
    <w:p>
      <w:pPr>
        <w:ind w:left="1040" w:right="300" w:hanging="526"/>
        <w:spacing w:after="0" w:line="277" w:lineRule="auto"/>
        <w:tabs>
          <w:tab w:leader="none" w:pos="104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040" w:right="160" w:hanging="526"/>
        <w:spacing w:after="0" w:line="277" w:lineRule="auto"/>
        <w:tabs>
          <w:tab w:leader="none" w:pos="1042" w:val="left"/>
        </w:tabs>
        <w:numPr>
          <w:ilvl w:val="0"/>
          <w:numId w:val="531"/>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ind w:left="1020" w:right="180" w:hanging="506"/>
        <w:spacing w:after="0" w:line="277" w:lineRule="auto"/>
        <w:tabs>
          <w:tab w:leader="none" w:pos="1011"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170" w:lineRule="exact"/>
        <w:rPr>
          <w:sz w:val="20"/>
          <w:szCs w:val="20"/>
          <w:color w:val="auto"/>
        </w:rPr>
      </w:pPr>
    </w:p>
    <w:p>
      <w:pPr>
        <w:ind w:left="1540" w:right="40" w:hanging="508"/>
        <w:spacing w:after="0" w:line="277" w:lineRule="auto"/>
        <w:tabs>
          <w:tab w:leader="none" w:pos="155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4" w:name="page385"/>
    <w:bookmarkEnd w:id="384"/>
    <w:p>
      <w:pPr>
        <w:ind w:left="520" w:right="58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37.2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70" w:lineRule="exact"/>
        <w:rPr>
          <w:sz w:val="20"/>
          <w:szCs w:val="20"/>
          <w:color w:val="auto"/>
        </w:rPr>
      </w:pPr>
    </w:p>
    <w:p>
      <w:pPr>
        <w:ind w:left="1020" w:hanging="506"/>
        <w:spacing w:after="0" w:line="311" w:lineRule="auto"/>
        <w:tabs>
          <w:tab w:leader="none" w:pos="1021"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6"/>
          <w:szCs w:val="16"/>
          <w:i w:val="1"/>
          <w:iCs w:val="1"/>
          <w:color w:val="auto"/>
        </w:rPr>
        <w:t>The original parties</w:t>
      </w:r>
      <w:r>
        <w:rPr>
          <w:rFonts w:ascii="Arial" w:cs="Arial" w:eastAsia="Arial" w:hAnsi="Arial"/>
          <w:sz w:val="16"/>
          <w:szCs w:val="16"/>
          <w:color w:val="auto"/>
        </w:rPr>
        <w:t>) (or any substitute department or officer as the Agent or the Security Agent shall specify for this purpose).</w:t>
      </w:r>
    </w:p>
    <w:p>
      <w:pPr>
        <w:spacing w:after="0" w:line="148" w:lineRule="exact"/>
        <w:rPr>
          <w:rFonts w:ascii="Arial" w:cs="Arial" w:eastAsia="Arial" w:hAnsi="Arial"/>
          <w:sz w:val="16"/>
          <w:szCs w:val="16"/>
          <w:color w:val="auto"/>
        </w:rPr>
      </w:pPr>
    </w:p>
    <w:p>
      <w:pPr>
        <w:ind w:left="1020" w:hanging="506"/>
        <w:spacing w:after="0"/>
        <w:tabs>
          <w:tab w:leader="none" w:pos="102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25" w:lineRule="exact"/>
        <w:rPr>
          <w:rFonts w:ascii="Arial" w:cs="Arial" w:eastAsia="Arial" w:hAnsi="Arial"/>
          <w:sz w:val="18"/>
          <w:szCs w:val="18"/>
          <w:color w:val="auto"/>
        </w:rPr>
      </w:pPr>
    </w:p>
    <w:p>
      <w:pPr>
        <w:ind w:left="1020" w:right="320" w:hanging="506"/>
        <w:spacing w:after="0" w:line="277" w:lineRule="auto"/>
        <w:tabs>
          <w:tab w:leader="none" w:pos="1021"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will be deemed to have been made or delivered to each of the Obligors.</w:t>
      </w:r>
    </w:p>
    <w:p>
      <w:pPr>
        <w:spacing w:after="0" w:line="170" w:lineRule="exact"/>
        <w:rPr>
          <w:rFonts w:ascii="Arial" w:cs="Arial" w:eastAsia="Arial" w:hAnsi="Arial"/>
          <w:sz w:val="18"/>
          <w:szCs w:val="18"/>
          <w:color w:val="auto"/>
        </w:rPr>
      </w:pPr>
    </w:p>
    <w:p>
      <w:pPr>
        <w:ind w:left="1020" w:right="60" w:hanging="506"/>
        <w:spacing w:after="0" w:line="277" w:lineRule="auto"/>
        <w:tabs>
          <w:tab w:leader="none" w:pos="102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37.3(a) to 37.3(d) above, after 5:00pm in the place of receipt shall be deemed only to become effective on the following day.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Notification of address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37.2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b w:val="1"/>
          <w:bCs w:val="1"/>
          <w:color w:val="auto"/>
        </w:rPr>
        <w:t>Electronic communication</w:t>
      </w:r>
    </w:p>
    <w:p>
      <w:pPr>
        <w:spacing w:after="0" w:line="229" w:lineRule="exact"/>
        <w:rPr>
          <w:sz w:val="20"/>
          <w:szCs w:val="20"/>
          <w:color w:val="auto"/>
        </w:rPr>
      </w:pPr>
    </w:p>
    <w:p>
      <w:pPr>
        <w:ind w:left="1020" w:right="20" w:hanging="506"/>
        <w:spacing w:after="0" w:line="263" w:lineRule="auto"/>
        <w:tabs>
          <w:tab w:leader="none" w:pos="101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83" w:lineRule="exact"/>
        <w:rPr>
          <w:rFonts w:ascii="Arial" w:cs="Arial" w:eastAsia="Arial" w:hAnsi="Arial"/>
          <w:sz w:val="18"/>
          <w:szCs w:val="18"/>
          <w:color w:val="auto"/>
        </w:rPr>
      </w:pPr>
    </w:p>
    <w:p>
      <w:pPr>
        <w:ind w:left="1540" w:right="60" w:hanging="508"/>
        <w:spacing w:after="0" w:line="277" w:lineRule="auto"/>
        <w:tabs>
          <w:tab w:leader="none" w:pos="1555" w:val="left"/>
        </w:tabs>
        <w:numPr>
          <w:ilvl w:val="1"/>
          <w:numId w:val="535"/>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70" w:lineRule="exact"/>
        <w:rPr>
          <w:rFonts w:ascii="Arial" w:cs="Arial" w:eastAsia="Arial" w:hAnsi="Arial"/>
          <w:sz w:val="18"/>
          <w:szCs w:val="18"/>
          <w:color w:val="auto"/>
        </w:rPr>
      </w:pPr>
    </w:p>
    <w:p>
      <w:pPr>
        <w:ind w:left="1540" w:right="120" w:hanging="508"/>
        <w:spacing w:after="0" w:line="277" w:lineRule="auto"/>
        <w:tabs>
          <w:tab w:leader="none" w:pos="1565" w:val="left"/>
        </w:tabs>
        <w:numPr>
          <w:ilvl w:val="1"/>
          <w:numId w:val="535"/>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70" w:lineRule="exact"/>
        <w:rPr>
          <w:rFonts w:ascii="Arial" w:cs="Arial" w:eastAsia="Arial" w:hAnsi="Arial"/>
          <w:sz w:val="18"/>
          <w:szCs w:val="18"/>
          <w:color w:val="auto"/>
        </w:rPr>
      </w:pPr>
    </w:p>
    <w:p>
      <w:pPr>
        <w:ind w:left="1020" w:hanging="506"/>
        <w:spacing w:after="0" w:line="263" w:lineRule="auto"/>
        <w:tabs>
          <w:tab w:leader="none" w:pos="102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3" w:lineRule="exact"/>
        <w:rPr>
          <w:rFonts w:ascii="Arial" w:cs="Arial" w:eastAsia="Arial" w:hAnsi="Arial"/>
          <w:sz w:val="18"/>
          <w:szCs w:val="18"/>
          <w:color w:val="auto"/>
        </w:rPr>
      </w:pPr>
    </w:p>
    <w:p>
      <w:pPr>
        <w:ind w:left="1020" w:right="100" w:hanging="506"/>
        <w:spacing w:after="0" w:line="277" w:lineRule="auto"/>
        <w:tabs>
          <w:tab w:leader="none" w:pos="1024"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37.5(b) above, after 5:00 pm in the place of receipt shall be deemed only to become effective on the following day.</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225" w:lineRule="exact"/>
        <w:rPr>
          <w:rFonts w:ascii="Arial" w:cs="Arial" w:eastAsia="Arial" w:hAnsi="Arial"/>
          <w:sz w:val="18"/>
          <w:szCs w:val="18"/>
          <w:color w:val="auto"/>
        </w:rPr>
      </w:pPr>
    </w:p>
    <w:p>
      <w:pPr>
        <w:ind w:left="1540" w:right="440" w:hanging="508"/>
        <w:spacing w:after="0" w:line="277" w:lineRule="auto"/>
        <w:tabs>
          <w:tab w:leader="none" w:pos="1555"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70" w:lineRule="exact"/>
        <w:rPr>
          <w:rFonts w:ascii="Arial" w:cs="Arial" w:eastAsia="Arial" w:hAnsi="Arial"/>
          <w:sz w:val="18"/>
          <w:szCs w:val="18"/>
          <w:color w:val="auto"/>
        </w:rPr>
      </w:pPr>
    </w:p>
    <w:p>
      <w:pPr>
        <w:ind w:left="1560" w:hanging="528"/>
        <w:spacing w:after="0"/>
        <w:tabs>
          <w:tab w:leader="none" w:pos="15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225" w:lineRule="exact"/>
        <w:rPr>
          <w:rFonts w:ascii="Arial" w:cs="Arial" w:eastAsia="Arial" w:hAnsi="Arial"/>
          <w:sz w:val="18"/>
          <w:szCs w:val="18"/>
          <w:color w:val="auto"/>
        </w:rPr>
      </w:pPr>
    </w:p>
    <w:p>
      <w:pPr>
        <w:ind w:left="1580" w:hanging="548"/>
        <w:spacing w:after="0"/>
        <w:tabs>
          <w:tab w:leader="none" w:pos="158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225" w:lineRule="exact"/>
        <w:rPr>
          <w:rFonts w:ascii="Arial" w:cs="Arial" w:eastAsia="Arial" w:hAnsi="Arial"/>
          <w:sz w:val="18"/>
          <w:szCs w:val="18"/>
          <w:color w:val="auto"/>
        </w:rPr>
      </w:pPr>
    </w:p>
    <w:p>
      <w:pPr>
        <w:ind w:left="1540" w:right="60" w:hanging="508"/>
        <w:spacing w:after="0" w:line="277" w:lineRule="auto"/>
        <w:tabs>
          <w:tab w:leader="none" w:pos="155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exchange of information can be delayed or disrupted due to transmission errors, technical faults, disruptions, malfunctions, illegal interventions, network overload, the malicious blocking of electronic access by third parties,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60" w:right="40"/>
        <w:spacing w:after="0" w:line="277" w:lineRule="auto"/>
        <w:rPr>
          <w:sz w:val="20"/>
          <w:szCs w:val="20"/>
          <w:color w:val="auto"/>
        </w:rPr>
      </w:pPr>
      <w:r>
        <w:rPr>
          <w:rFonts w:ascii="Arial" w:cs="Arial" w:eastAsia="Arial" w:hAnsi="Arial"/>
          <w:sz w:val="18"/>
          <w:szCs w:val="18"/>
          <w:color w:val="auto"/>
        </w:rPr>
        <w:t>shortcomings on the part of the network provider. In certain situations, time-critical orders and instructions might not be processed on time; and</w:t>
      </w:r>
    </w:p>
    <w:p>
      <w:pPr>
        <w:spacing w:after="0" w:line="170" w:lineRule="exact"/>
        <w:rPr>
          <w:sz w:val="20"/>
          <w:szCs w:val="20"/>
          <w:color w:val="auto"/>
        </w:rPr>
      </w:pPr>
    </w:p>
    <w:p>
      <w:pPr>
        <w:ind w:left="1540" w:right="160" w:hanging="508"/>
        <w:spacing w:after="0" w:line="263" w:lineRule="auto"/>
        <w:tabs>
          <w:tab w:leader="none" w:pos="1541"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 or any other Obligor due to interruptions and delays in transmission caused by technical problems.</w:t>
      </w:r>
    </w:p>
    <w:p>
      <w:pPr>
        <w:spacing w:after="0" w:line="183" w:lineRule="exact"/>
        <w:rPr>
          <w:rFonts w:ascii="Arial" w:cs="Arial" w:eastAsia="Arial" w:hAnsi="Arial"/>
          <w:sz w:val="18"/>
          <w:szCs w:val="18"/>
          <w:color w:val="auto"/>
        </w:rPr>
      </w:pPr>
    </w:p>
    <w:p>
      <w:pPr>
        <w:ind w:left="1040" w:right="20" w:hanging="526"/>
        <w:spacing w:after="0" w:line="257" w:lineRule="auto"/>
        <w:tabs>
          <w:tab w:leader="none" w:pos="104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37.6</w:t>
      </w:r>
      <w:r>
        <w:rPr>
          <w:sz w:val="20"/>
          <w:szCs w:val="20"/>
          <w:color w:val="auto"/>
        </w:rPr>
        <w:tab/>
      </w:r>
      <w:r>
        <w:rPr>
          <w:rFonts w:ascii="Arial" w:cs="Arial" w:eastAsia="Arial" w:hAnsi="Arial"/>
          <w:sz w:val="15"/>
          <w:szCs w:val="15"/>
          <w:b w:val="1"/>
          <w:bCs w:val="1"/>
          <w:color w:val="auto"/>
        </w:rPr>
        <w:t>English language</w:t>
      </w:r>
    </w:p>
    <w:p>
      <w:pPr>
        <w:spacing w:after="0" w:line="229" w:lineRule="exact"/>
        <w:rPr>
          <w:sz w:val="20"/>
          <w:szCs w:val="20"/>
          <w:color w:val="auto"/>
        </w:rPr>
      </w:pPr>
    </w:p>
    <w:p>
      <w:pPr>
        <w:ind w:left="1020" w:hanging="506"/>
        <w:spacing w:after="0"/>
        <w:tabs>
          <w:tab w:leader="none" w:pos="102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in English; or</w:t>
      </w:r>
    </w:p>
    <w:p>
      <w:pPr>
        <w:sectPr>
          <w:pgSz w:w="11900" w:h="16838" w:orient="portrait"/>
          <w:cols w:equalWidth="0" w:num="1">
            <w:col w:w="11220"/>
          </w:cols>
          <w:pgMar w:left="320" w:top="341" w:right="359" w:bottom="0" w:gutter="0" w:footer="0" w:header="0"/>
        </w:sectPr>
      </w:pPr>
    </w:p>
    <w:bookmarkStart w:id="385" w:name="page386"/>
    <w:bookmarkEnd w:id="385"/>
    <w:p>
      <w:pPr>
        <w:ind w:left="1540" w:right="580" w:hanging="508"/>
        <w:spacing w:after="0" w:line="277" w:lineRule="auto"/>
        <w:tabs>
          <w:tab w:leader="none" w:pos="156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37.7</w:t>
      </w:r>
      <w:r>
        <w:rPr>
          <w:sz w:val="20"/>
          <w:szCs w:val="20"/>
          <w:color w:val="auto"/>
        </w:rPr>
        <w:tab/>
      </w:r>
      <w:r>
        <w:rPr>
          <w:rFonts w:ascii="Arial" w:cs="Arial" w:eastAsia="Arial" w:hAnsi="Arial"/>
          <w:sz w:val="16"/>
          <w:szCs w:val="16"/>
          <w:b w:val="1"/>
          <w:bCs w:val="1"/>
          <w:color w:val="auto"/>
        </w:rPr>
        <w:t>Communication with Agent when Agent is Impaired Agent</w:t>
      </w:r>
    </w:p>
    <w:p>
      <w:pPr>
        <w:spacing w:after="0" w:line="229"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83" w:lineRule="exact"/>
        <w:rPr>
          <w:sz w:val="20"/>
          <w:szCs w:val="20"/>
          <w:color w:val="auto"/>
        </w:rPr>
      </w:pPr>
    </w:p>
    <w:p>
      <w:pPr>
        <w:ind w:right="8460" w:firstLine="8"/>
        <w:spacing w:after="0" w:line="503" w:lineRule="auto"/>
        <w:tabs>
          <w:tab w:leader="none" w:pos="504"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 38.1 Accounts</w:t>
      </w:r>
    </w:p>
    <w:p>
      <w:pPr>
        <w:ind w:left="52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6"/>
          <w:szCs w:val="16"/>
          <w:b w:val="1"/>
          <w:bCs w:val="1"/>
          <w:color w:val="auto"/>
        </w:rPr>
        <w:t>Certificates and determinations</w:t>
      </w:r>
    </w:p>
    <w:p>
      <w:pPr>
        <w:spacing w:after="0" w:line="22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5"/>
          <w:szCs w:val="15"/>
          <w:b w:val="1"/>
          <w:bCs w:val="1"/>
          <w:color w:val="auto"/>
        </w:rPr>
        <w:t>Day count convention</w:t>
      </w:r>
    </w:p>
    <w:p>
      <w:pPr>
        <w:spacing w:after="0" w:line="229" w:lineRule="exact"/>
        <w:rPr>
          <w:sz w:val="20"/>
          <w:szCs w:val="20"/>
          <w:color w:val="auto"/>
        </w:rPr>
      </w:pPr>
    </w:p>
    <w:p>
      <w:pPr>
        <w:ind w:left="520" w:right="380"/>
        <w:spacing w:after="0" w:line="342" w:lineRule="auto"/>
        <w:rPr>
          <w:sz w:val="20"/>
          <w:szCs w:val="20"/>
          <w:color w:val="auto"/>
        </w:rPr>
      </w:pPr>
      <w:r>
        <w:rPr>
          <w:rFonts w:ascii="Arial" w:cs="Arial" w:eastAsia="Arial" w:hAnsi="Arial"/>
          <w:sz w:val="16"/>
          <w:szCs w:val="16"/>
          <w:color w:val="auto"/>
        </w:rPr>
        <w:t>Any interest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86" w:name="page387"/>
    <w:bookmarkEnd w:id="386"/>
    <w:p>
      <w:pPr>
        <w:ind w:left="520" w:hanging="512"/>
        <w:spacing w:after="0"/>
        <w:tabs>
          <w:tab w:leader="none" w:pos="52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b w:val="1"/>
          <w:bCs w:val="1"/>
          <w:color w:val="auto"/>
        </w:rPr>
      </w:pPr>
    </w:p>
    <w:p>
      <w:pPr>
        <w:ind w:lef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9" w:lineRule="exact"/>
        <w:rPr>
          <w:rFonts w:ascii="Arial" w:cs="Arial" w:eastAsia="Arial" w:hAnsi="Arial"/>
          <w:sz w:val="18"/>
          <w:szCs w:val="18"/>
          <w:b w:val="1"/>
          <w:bCs w:val="1"/>
          <w:color w:val="auto"/>
        </w:rPr>
      </w:pPr>
    </w:p>
    <w:p>
      <w:pPr>
        <w:ind w:left="520" w:hanging="512"/>
        <w:spacing w:after="0"/>
        <w:tabs>
          <w:tab w:leader="none" w:pos="52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rFonts w:ascii="Arial" w:cs="Arial" w:eastAsia="Arial" w:hAnsi="Arial"/>
          <w:sz w:val="18"/>
          <w:szCs w:val="18"/>
          <w:b w:val="1"/>
          <w:bCs w:val="1"/>
          <w:color w:val="auto"/>
        </w:rPr>
      </w:pPr>
    </w:p>
    <w:p>
      <w:pPr>
        <w:ind w:left="52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83" w:lineRule="exact"/>
        <w:rPr>
          <w:rFonts w:ascii="Arial" w:cs="Arial" w:eastAsia="Arial" w:hAnsi="Arial"/>
          <w:sz w:val="18"/>
          <w:szCs w:val="18"/>
          <w:b w:val="1"/>
          <w:bCs w:val="1"/>
          <w:color w:val="auto"/>
        </w:rPr>
      </w:pPr>
    </w:p>
    <w:p>
      <w:pPr>
        <w:ind w:left="520" w:hanging="512"/>
        <w:spacing w:after="0"/>
        <w:tabs>
          <w:tab w:leader="none" w:pos="520"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grant of waivers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color w:val="auto"/>
        </w:rPr>
        <w:t>Required consents</w:t>
      </w:r>
    </w:p>
    <w:p>
      <w:pPr>
        <w:spacing w:after="0" w:line="229" w:lineRule="exact"/>
        <w:rPr>
          <w:sz w:val="20"/>
          <w:szCs w:val="20"/>
          <w:color w:val="auto"/>
        </w:rPr>
      </w:pPr>
    </w:p>
    <w:p>
      <w:pPr>
        <w:ind w:left="1040" w:right="60" w:hanging="526"/>
        <w:spacing w:after="0" w:line="259" w:lineRule="auto"/>
        <w:tabs>
          <w:tab w:leader="none" w:pos="1032" w:val="left"/>
        </w:tabs>
        <w:numPr>
          <w:ilvl w:val="0"/>
          <w:numId w:val="542"/>
        </w:numPr>
        <w:rPr>
          <w:rFonts w:ascii="Arial" w:cs="Arial" w:eastAsia="Arial" w:hAnsi="Arial"/>
          <w:sz w:val="18"/>
          <w:szCs w:val="18"/>
          <w:color w:val="auto"/>
        </w:rPr>
      </w:pPr>
      <w:r>
        <w:rPr>
          <w:rFonts w:ascii="Arial" w:cs="Arial" w:eastAsia="Arial" w:hAnsi="Arial"/>
          <w:sz w:val="18"/>
          <w:szCs w:val="18"/>
          <w:color w:val="auto"/>
        </w:rPr>
        <w:t>Subject to clauses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41.3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186" w:lineRule="exact"/>
        <w:rPr>
          <w:rFonts w:ascii="Arial" w:cs="Arial" w:eastAsia="Arial" w:hAnsi="Arial"/>
          <w:sz w:val="18"/>
          <w:szCs w:val="18"/>
          <w:color w:val="auto"/>
        </w:rPr>
      </w:pPr>
    </w:p>
    <w:p>
      <w:pPr>
        <w:ind w:left="1040" w:right="640" w:hanging="526"/>
        <w:spacing w:after="0" w:line="277" w:lineRule="auto"/>
        <w:tabs>
          <w:tab w:leader="none" w:pos="1042"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41.</w:t>
      </w:r>
    </w:p>
    <w:p>
      <w:pPr>
        <w:spacing w:after="0" w:line="170" w:lineRule="exact"/>
        <w:rPr>
          <w:rFonts w:ascii="Arial" w:cs="Arial" w:eastAsia="Arial" w:hAnsi="Arial"/>
          <w:sz w:val="18"/>
          <w:szCs w:val="18"/>
          <w:color w:val="auto"/>
        </w:rPr>
      </w:pPr>
    </w:p>
    <w:p>
      <w:pPr>
        <w:ind w:left="1040" w:right="40" w:hanging="526"/>
        <w:spacing w:after="0" w:line="263" w:lineRule="auto"/>
        <w:tabs>
          <w:tab w:leader="none" w:pos="104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32.7(c), 32.7(d) and 32.7(e) of clause 32.7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183" w:lineRule="exact"/>
        <w:rPr>
          <w:rFonts w:ascii="Arial" w:cs="Arial" w:eastAsia="Arial" w:hAnsi="Arial"/>
          <w:sz w:val="18"/>
          <w:szCs w:val="18"/>
          <w:color w:val="auto"/>
        </w:rPr>
      </w:pPr>
    </w:p>
    <w:p>
      <w:pPr>
        <w:ind w:left="1040" w:right="320" w:hanging="526"/>
        <w:spacing w:after="0" w:line="277" w:lineRule="auto"/>
        <w:tabs>
          <w:tab w:leader="none" w:pos="1042" w:val="left"/>
        </w:tabs>
        <w:numPr>
          <w:ilvl w:val="0"/>
          <w:numId w:val="542"/>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41 which is agreed to by the Borrower. This includes any amendment or waiver which would, but for this clause 41.1(d), require the consent of the Parent.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All Lender matters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70" w:lineRule="exact"/>
        <w:rPr>
          <w:sz w:val="20"/>
          <w:szCs w:val="20"/>
          <w:color w:val="auto"/>
        </w:rPr>
      </w:pPr>
    </w:p>
    <w:p>
      <w:pPr>
        <w:ind w:left="1020" w:hanging="506"/>
        <w:spacing w:after="0"/>
        <w:tabs>
          <w:tab w:leader="none" w:pos="102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25" w:lineRule="exact"/>
        <w:rPr>
          <w:rFonts w:ascii="Arial" w:cs="Arial" w:eastAsia="Arial" w:hAnsi="Arial"/>
          <w:sz w:val="18"/>
          <w:szCs w:val="18"/>
          <w:color w:val="auto"/>
        </w:rPr>
      </w:pPr>
    </w:p>
    <w:p>
      <w:pPr>
        <w:ind w:left="1040" w:right="420" w:hanging="526"/>
        <w:spacing w:after="0" w:line="277" w:lineRule="auto"/>
        <w:tabs>
          <w:tab w:leader="none" w:pos="1045"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or fees payable or the rate at which they are calculated;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7" w:name="page388"/>
    <w:bookmarkEnd w:id="387"/>
    <w:p>
      <w:pPr>
        <w:ind w:left="1040" w:right="20" w:hanging="526"/>
        <w:spacing w:after="0" w:line="308" w:lineRule="auto"/>
        <w:tabs>
          <w:tab w:leader="none" w:pos="1039" w:val="left"/>
        </w:tabs>
        <w:numPr>
          <w:ilvl w:val="0"/>
          <w:numId w:val="544"/>
        </w:numPr>
        <w:rPr>
          <w:rFonts w:ascii="Arial" w:cs="Arial" w:eastAsia="Arial" w:hAnsi="Arial"/>
          <w:sz w:val="17"/>
          <w:szCs w:val="17"/>
          <w:color w:val="auto"/>
        </w:rPr>
      </w:pPr>
      <w:r>
        <w:rPr>
          <w:rFonts w:ascii="Arial" w:cs="Arial" w:eastAsia="Arial" w:hAnsi="Arial"/>
          <w:sz w:val="17"/>
          <w:szCs w:val="17"/>
          <w:color w:val="auto"/>
        </w:rPr>
        <w:t>an increase in, or extension of, any Commitment or the Total Commitments, an extension of any period within which the Facility is available for Utilisation or any requirement that a cancellation of Commitments reduces the Commitments of the Lenders pro rata;</w:t>
      </w:r>
    </w:p>
    <w:p>
      <w:pPr>
        <w:spacing w:after="0" w:line="146" w:lineRule="exact"/>
        <w:rPr>
          <w:rFonts w:ascii="Arial" w:cs="Arial" w:eastAsia="Arial" w:hAnsi="Arial"/>
          <w:sz w:val="17"/>
          <w:szCs w:val="17"/>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 change to the Borrower or any other Obligor;</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225" w:lineRule="exact"/>
        <w:rPr>
          <w:rFonts w:ascii="Arial" w:cs="Arial" w:eastAsia="Arial" w:hAnsi="Arial"/>
          <w:sz w:val="18"/>
          <w:szCs w:val="18"/>
          <w:color w:val="auto"/>
        </w:rPr>
      </w:pPr>
    </w:p>
    <w:p>
      <w:pPr>
        <w:ind w:left="1040" w:right="280" w:hanging="526"/>
        <w:spacing w:after="0" w:line="311" w:lineRule="auto"/>
        <w:tabs>
          <w:tab w:leader="none" w:pos="1056" w:val="left"/>
        </w:tabs>
        <w:numPr>
          <w:ilvl w:val="0"/>
          <w:numId w:val="544"/>
        </w:numPr>
        <w:rPr>
          <w:rFonts w:ascii="Arial" w:cs="Arial" w:eastAsia="Arial" w:hAnsi="Arial"/>
          <w:sz w:val="16"/>
          <w:szCs w:val="16"/>
          <w:color w:val="auto"/>
        </w:rPr>
      </w:pPr>
      <w:r>
        <w:rPr>
          <w:rFonts w:ascii="Arial" w:cs="Arial" w:eastAsia="Arial" w:hAnsi="Arial"/>
          <w:sz w:val="16"/>
          <w:szCs w:val="16"/>
          <w:color w:val="auto"/>
        </w:rPr>
        <w:t>clause 2.2 (</w:t>
      </w:r>
      <w:r>
        <w:rPr>
          <w:rFonts w:ascii="Arial" w:cs="Arial" w:eastAsia="Arial" w:hAnsi="Arial"/>
          <w:sz w:val="16"/>
          <w:szCs w:val="16"/>
          <w:i w:val="1"/>
          <w:iCs w:val="1"/>
          <w:color w:val="auto"/>
        </w:rPr>
        <w:t>Finance Parties’ rights and obligations</w:t>
      </w:r>
      <w:r>
        <w:rPr>
          <w:rFonts w:ascii="Arial" w:cs="Arial" w:eastAsia="Arial" w:hAnsi="Arial"/>
          <w:sz w:val="16"/>
          <w:szCs w:val="16"/>
          <w:color w:val="auto"/>
        </w:rPr>
        <w:t>), clause 7.9 (</w:t>
      </w:r>
      <w:r>
        <w:rPr>
          <w:rFonts w:ascii="Arial" w:cs="Arial" w:eastAsia="Arial" w:hAnsi="Arial"/>
          <w:sz w:val="16"/>
          <w:szCs w:val="16"/>
          <w:i w:val="1"/>
          <w:iCs w:val="1"/>
          <w:color w:val="auto"/>
        </w:rPr>
        <w:t>Mandatory prepayment and cancellation following non-compliance with</w:t>
      </w:r>
      <w:r>
        <w:rPr>
          <w:rFonts w:ascii="Arial" w:cs="Arial" w:eastAsia="Arial" w:hAnsi="Arial"/>
          <w:sz w:val="16"/>
          <w:szCs w:val="16"/>
          <w:color w:val="auto"/>
        </w:rPr>
        <w:t xml:space="preserve"> </w:t>
      </w:r>
      <w:r>
        <w:rPr>
          <w:rFonts w:ascii="Arial" w:cs="Arial" w:eastAsia="Arial" w:hAnsi="Arial"/>
          <w:sz w:val="16"/>
          <w:szCs w:val="16"/>
          <w:i w:val="1"/>
          <w:iCs w:val="1"/>
          <w:color w:val="auto"/>
        </w:rPr>
        <w:t>Sanctions</w:t>
      </w:r>
      <w:r>
        <w:rPr>
          <w:rFonts w:ascii="Arial" w:cs="Arial" w:eastAsia="Arial" w:hAnsi="Arial"/>
          <w:sz w:val="16"/>
          <w:szCs w:val="16"/>
          <w:color w:val="auto"/>
        </w:rPr>
        <w:t>), clause 18.32 (</w:t>
      </w:r>
      <w:r>
        <w:rPr>
          <w:rFonts w:ascii="Arial" w:cs="Arial" w:eastAsia="Arial" w:hAnsi="Arial"/>
          <w:sz w:val="16"/>
          <w:szCs w:val="16"/>
          <w:i w:val="1"/>
          <w:iCs w:val="1"/>
          <w:color w:val="auto"/>
        </w:rPr>
        <w:t>Sanctions</w:t>
      </w:r>
      <w:r>
        <w:rPr>
          <w:rFonts w:ascii="Arial" w:cs="Arial" w:eastAsia="Arial" w:hAnsi="Arial"/>
          <w:sz w:val="16"/>
          <w:szCs w:val="16"/>
          <w:color w:val="auto"/>
        </w:rPr>
        <w:t>), clause 21.11 (</w:t>
      </w:r>
      <w:r>
        <w:rPr>
          <w:rFonts w:ascii="Arial" w:cs="Arial" w:eastAsia="Arial" w:hAnsi="Arial"/>
          <w:sz w:val="16"/>
          <w:szCs w:val="16"/>
          <w:i w:val="1"/>
          <w:iCs w:val="1"/>
          <w:color w:val="auto"/>
        </w:rPr>
        <w:t>Sanctions</w:t>
      </w:r>
      <w:r>
        <w:rPr>
          <w:rFonts w:ascii="Arial" w:cs="Arial" w:eastAsia="Arial" w:hAnsi="Arial"/>
          <w:sz w:val="16"/>
          <w:szCs w:val="16"/>
          <w:color w:val="auto"/>
        </w:rPr>
        <w:t>), clause 30 (</w:t>
      </w:r>
      <w:r>
        <w:rPr>
          <w:rFonts w:ascii="Arial" w:cs="Arial" w:eastAsia="Arial" w:hAnsi="Arial"/>
          <w:sz w:val="16"/>
          <w:szCs w:val="16"/>
          <w:i w:val="1"/>
          <w:iCs w:val="1"/>
          <w:color w:val="auto"/>
        </w:rPr>
        <w:t>Changes to the Lenders</w:t>
      </w:r>
      <w:r>
        <w:rPr>
          <w:rFonts w:ascii="Arial" w:cs="Arial" w:eastAsia="Arial" w:hAnsi="Arial"/>
          <w:sz w:val="16"/>
          <w:szCs w:val="16"/>
          <w:color w:val="auto"/>
        </w:rPr>
        <w:t>), clause 34.1 (</w:t>
      </w:r>
      <w:r>
        <w:rPr>
          <w:rFonts w:ascii="Arial" w:cs="Arial" w:eastAsia="Arial" w:hAnsi="Arial"/>
          <w:sz w:val="16"/>
          <w:szCs w:val="16"/>
          <w:i w:val="1"/>
          <w:iCs w:val="1"/>
          <w:color w:val="auto"/>
        </w:rPr>
        <w:t>Payments to Finance Parties</w:t>
      </w:r>
      <w:r>
        <w:rPr>
          <w:rFonts w:ascii="Arial" w:cs="Arial" w:eastAsia="Arial" w:hAnsi="Arial"/>
          <w:sz w:val="16"/>
          <w:szCs w:val="16"/>
          <w:color w:val="auto"/>
        </w:rPr>
        <w:t>), this clause 41 (</w:t>
      </w:r>
      <w:r>
        <w:rPr>
          <w:rFonts w:ascii="Arial" w:cs="Arial" w:eastAsia="Arial" w:hAnsi="Arial"/>
          <w:sz w:val="16"/>
          <w:szCs w:val="16"/>
          <w:i w:val="1"/>
          <w:iCs w:val="1"/>
          <w:color w:val="auto"/>
        </w:rPr>
        <w:t>Amendments and grant of waivers</w:t>
      </w:r>
      <w:r>
        <w:rPr>
          <w:rFonts w:ascii="Arial" w:cs="Arial" w:eastAsia="Arial" w:hAnsi="Arial"/>
          <w:sz w:val="16"/>
          <w:szCs w:val="16"/>
          <w:color w:val="auto"/>
        </w:rPr>
        <w:t>), clause 44 (</w:t>
      </w:r>
      <w:r>
        <w:rPr>
          <w:rFonts w:ascii="Arial" w:cs="Arial" w:eastAsia="Arial" w:hAnsi="Arial"/>
          <w:sz w:val="16"/>
          <w:szCs w:val="16"/>
          <w:i w:val="1"/>
          <w:iCs w:val="1"/>
          <w:color w:val="auto"/>
        </w:rPr>
        <w:t>Governing law</w:t>
      </w:r>
      <w:r>
        <w:rPr>
          <w:rFonts w:ascii="Arial" w:cs="Arial" w:eastAsia="Arial" w:hAnsi="Arial"/>
          <w:sz w:val="16"/>
          <w:szCs w:val="16"/>
          <w:color w:val="auto"/>
        </w:rPr>
        <w:t>) or clause 45.1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order of distribution under clause 35.5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order of distribution under clause 32.24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the nature or scope of the Charged Property or the manner in which the proceeds of enforcement of the Security Documents are distributed;</w:t>
      </w:r>
    </w:p>
    <w:p>
      <w:pPr>
        <w:spacing w:after="0" w:line="248" w:lineRule="exact"/>
        <w:rPr>
          <w:rFonts w:ascii="Arial" w:cs="Arial" w:eastAsia="Arial" w:hAnsi="Arial"/>
          <w:sz w:val="16"/>
          <w:szCs w:val="16"/>
          <w:color w:val="auto"/>
        </w:rPr>
      </w:pPr>
    </w:p>
    <w:p>
      <w:pPr>
        <w:ind w:left="1040" w:hanging="526"/>
        <w:spacing w:after="0"/>
        <w:tabs>
          <w:tab w:leader="none" w:pos="10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nature or scope of any Guarantee;</w:t>
      </w:r>
    </w:p>
    <w:p>
      <w:pPr>
        <w:spacing w:after="0" w:line="225" w:lineRule="exact"/>
        <w:rPr>
          <w:rFonts w:ascii="Arial" w:cs="Arial" w:eastAsia="Arial" w:hAnsi="Arial"/>
          <w:sz w:val="18"/>
          <w:szCs w:val="18"/>
          <w:color w:val="auto"/>
        </w:rPr>
      </w:pPr>
    </w:p>
    <w:p>
      <w:pPr>
        <w:ind w:left="1040" w:right="640" w:hanging="526"/>
        <w:spacing w:after="0" w:line="277" w:lineRule="auto"/>
        <w:tabs>
          <w:tab w:leader="none" w:pos="1042"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release of any Transaction Security or the Guarantee (other than as expressly contemplated or permitted by the provisions of this Agreement); or</w:t>
      </w:r>
    </w:p>
    <w:p>
      <w:pPr>
        <w:spacing w:after="0" w:line="170" w:lineRule="exact"/>
        <w:rPr>
          <w:rFonts w:ascii="Arial" w:cs="Arial" w:eastAsia="Arial" w:hAnsi="Arial"/>
          <w:sz w:val="18"/>
          <w:szCs w:val="18"/>
          <w:color w:val="auto"/>
        </w:rPr>
      </w:pPr>
    </w:p>
    <w:p>
      <w:pPr>
        <w:ind w:left="1040" w:right="340" w:hanging="526"/>
        <w:spacing w:after="0" w:line="277" w:lineRule="auto"/>
        <w:tabs>
          <w:tab w:leader="none" w:pos="1042"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or the Guarantee, are permitted or required to be released under any of the Finance Documents,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Other exceptions</w:t>
      </w:r>
    </w:p>
    <w:p>
      <w:pPr>
        <w:spacing w:after="0" w:line="229" w:lineRule="exact"/>
        <w:rPr>
          <w:sz w:val="20"/>
          <w:szCs w:val="20"/>
          <w:color w:val="auto"/>
        </w:rPr>
      </w:pPr>
    </w:p>
    <w:p>
      <w:pPr>
        <w:ind w:left="1040" w:hanging="526"/>
        <w:spacing w:after="0" w:line="277" w:lineRule="auto"/>
        <w:tabs>
          <w:tab w:leader="none" w:pos="103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Amendments to or waivers in respect of the Hedging Contracts in respect of a Hedging Provider may only be agreed by the relevant Hedging Provider.</w:t>
      </w:r>
    </w:p>
    <w:p>
      <w:pPr>
        <w:spacing w:after="0" w:line="170" w:lineRule="exact"/>
        <w:rPr>
          <w:rFonts w:ascii="Arial" w:cs="Arial" w:eastAsia="Arial" w:hAnsi="Arial"/>
          <w:sz w:val="18"/>
          <w:szCs w:val="18"/>
          <w:color w:val="auto"/>
        </w:rPr>
      </w:pPr>
    </w:p>
    <w:p>
      <w:pPr>
        <w:ind w:left="1040" w:right="40" w:hanging="526"/>
        <w:spacing w:after="0" w:line="263" w:lineRule="auto"/>
        <w:tabs>
          <w:tab w:leader="none" w:pos="104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 in their respective capacities as such (and not just as a Lender) may not be effected without the consent of the Agent, the Security Agent or the Arranger (as the case may be).</w:t>
      </w:r>
    </w:p>
    <w:p>
      <w:pPr>
        <w:spacing w:after="0" w:line="183" w:lineRule="exact"/>
        <w:rPr>
          <w:rFonts w:ascii="Arial" w:cs="Arial" w:eastAsia="Arial" w:hAnsi="Arial"/>
          <w:sz w:val="18"/>
          <w:szCs w:val="18"/>
          <w:color w:val="auto"/>
        </w:rPr>
      </w:pPr>
    </w:p>
    <w:p>
      <w:pPr>
        <w:ind w:left="1040" w:hanging="526"/>
        <w:spacing w:after="0"/>
        <w:tabs>
          <w:tab w:leader="none" w:pos="104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225" w:lineRule="exact"/>
        <w:rPr>
          <w:rFonts w:ascii="Arial" w:cs="Arial" w:eastAsia="Arial" w:hAnsi="Arial"/>
          <w:sz w:val="18"/>
          <w:szCs w:val="18"/>
          <w:color w:val="auto"/>
        </w:rPr>
      </w:pPr>
    </w:p>
    <w:p>
      <w:pPr>
        <w:ind w:left="1040" w:right="340" w:hanging="526"/>
        <w:spacing w:after="0" w:line="259" w:lineRule="auto"/>
        <w:tabs>
          <w:tab w:leader="none" w:pos="1042" w:val="left"/>
        </w:tabs>
        <w:numPr>
          <w:ilvl w:val="0"/>
          <w:numId w:val="545"/>
        </w:numPr>
        <w:rPr>
          <w:rFonts w:ascii="Arial" w:cs="Arial" w:eastAsia="Arial" w:hAnsi="Arial"/>
          <w:sz w:val="18"/>
          <w:szCs w:val="18"/>
          <w:color w:val="auto"/>
        </w:rPr>
      </w:pPr>
      <w:r>
        <w:rPr>
          <w:rFonts w:ascii="Arial" w:cs="Arial" w:eastAsia="Arial" w:hAnsi="Arial"/>
          <w:sz w:val="18"/>
          <w:szCs w:val="18"/>
          <w:color w:val="auto"/>
        </w:rPr>
        <w:t>Notwithstanding clauses 41.1 (</w:t>
      </w:r>
      <w:r>
        <w:rPr>
          <w:rFonts w:ascii="Arial" w:cs="Arial" w:eastAsia="Arial" w:hAnsi="Arial"/>
          <w:sz w:val="18"/>
          <w:szCs w:val="18"/>
          <w:i w:val="1"/>
          <w:iCs w:val="1"/>
          <w:color w:val="auto"/>
        </w:rPr>
        <w:t>Required consents</w:t>
      </w:r>
      <w:r>
        <w:rPr>
          <w:rFonts w:ascii="Arial" w:cs="Arial" w:eastAsia="Arial" w:hAnsi="Arial"/>
          <w:sz w:val="18"/>
          <w:szCs w:val="18"/>
          <w:color w:val="auto"/>
        </w:rPr>
        <w:t>), 41.2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(b) and (c)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Disenfranchisement of Defaulting Lenders</w:t>
      </w:r>
    </w:p>
    <w:p>
      <w:pPr>
        <w:spacing w:after="0" w:line="229" w:lineRule="exact"/>
        <w:rPr>
          <w:sz w:val="20"/>
          <w:szCs w:val="20"/>
          <w:color w:val="auto"/>
        </w:rPr>
      </w:pPr>
    </w:p>
    <w:p>
      <w:pPr>
        <w:ind w:left="1040" w:right="160" w:hanging="526"/>
        <w:spacing w:after="0" w:line="263" w:lineRule="auto"/>
        <w:tabs>
          <w:tab w:leader="none" w:pos="1032" w:val="left"/>
        </w:tabs>
        <w:numPr>
          <w:ilvl w:val="0"/>
          <w:numId w:val="546"/>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or the agreement of any specified group of Lenders (whether Majority Lenders, all Lenders or otherwise), has been obtained to approve any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8" w:name="page389"/>
    <w:bookmarkEnd w:id="388"/>
    <w:p>
      <w:pPr>
        <w:jc w:val="both"/>
        <w:ind w:left="1040"/>
        <w:spacing w:after="0" w:line="311" w:lineRule="auto"/>
        <w:rPr>
          <w:sz w:val="20"/>
          <w:szCs w:val="20"/>
          <w:color w:val="auto"/>
        </w:rPr>
      </w:pPr>
      <w:r>
        <w:rPr>
          <w:rFonts w:ascii="Arial" w:cs="Arial" w:eastAsia="Arial" w:hAnsi="Arial"/>
          <w:sz w:val="16"/>
          <w:szCs w:val="16"/>
          <w:color w:val="auto"/>
        </w:rPr>
        <w:t>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 that Defaulting Lender shall be deemed not to be a Lender for the purposes paragraphs (i) and (ii) above.</w:t>
      </w:r>
    </w:p>
    <w:p>
      <w:pPr>
        <w:spacing w:after="0" w:line="149" w:lineRule="exact"/>
        <w:rPr>
          <w:sz w:val="20"/>
          <w:szCs w:val="20"/>
          <w:color w:val="auto"/>
        </w:rPr>
      </w:pPr>
    </w:p>
    <w:p>
      <w:pPr>
        <w:ind w:left="1040" w:hanging="526"/>
        <w:spacing w:after="0"/>
        <w:tabs>
          <w:tab w:leader="none" w:pos="104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For the purposes of this clause 41.4, the Agent may assume that the following Lenders are Defaulting Lenders:</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225" w:lineRule="exact"/>
        <w:rPr>
          <w:rFonts w:ascii="Arial" w:cs="Arial" w:eastAsia="Arial" w:hAnsi="Arial"/>
          <w:sz w:val="18"/>
          <w:szCs w:val="18"/>
          <w:color w:val="auto"/>
        </w:rPr>
      </w:pPr>
    </w:p>
    <w:p>
      <w:pPr>
        <w:ind w:left="1540" w:right="80" w:hanging="508"/>
        <w:spacing w:after="0" w:line="259" w:lineRule="auto"/>
        <w:tabs>
          <w:tab w:leader="none" w:pos="1565" w:val="left"/>
        </w:tabs>
        <w:numPr>
          <w:ilvl w:val="1"/>
          <w:numId w:val="547"/>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Replacement of a Defaulting Lender</w:t>
      </w:r>
    </w:p>
    <w:p>
      <w:pPr>
        <w:spacing w:after="0" w:line="229" w:lineRule="exact"/>
        <w:rPr>
          <w:sz w:val="20"/>
          <w:szCs w:val="20"/>
          <w:color w:val="auto"/>
        </w:rPr>
      </w:pPr>
    </w:p>
    <w:p>
      <w:pPr>
        <w:ind w:left="1040" w:right="20" w:hanging="526"/>
        <w:spacing w:after="0" w:line="288" w:lineRule="auto"/>
        <w:tabs>
          <w:tab w:leader="none" w:pos="1032"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The Borrower may, at any time a Lender has become and continues to be a Defaulting Lender, by giving ten (10) Business Days’ prior written notice to the Agent and such Lender replace such Lender by requiring such Lender to (and, to the extent permitted by law such Lender shall) transfer pursuant to clause 30 (</w:t>
      </w:r>
      <w:r>
        <w:rPr>
          <w:rFonts w:ascii="Arial" w:cs="Arial" w:eastAsia="Arial" w:hAnsi="Arial"/>
          <w:sz w:val="16"/>
          <w:szCs w:val="16"/>
          <w:i w:val="1"/>
          <w:iCs w:val="1"/>
          <w:color w:val="auto"/>
        </w:rPr>
        <w:t>Changes to the Lenders</w:t>
      </w:r>
      <w:r>
        <w:rPr>
          <w:rFonts w:ascii="Arial" w:cs="Arial" w:eastAsia="Arial" w:hAnsi="Arial"/>
          <w:sz w:val="16"/>
          <w:szCs w:val="16"/>
          <w:color w:val="auto"/>
        </w:rPr>
        <w:t xml:space="preserve">) all (and not part only) of its rights and obligations under this Agreement to a Lender or other bank, financial institution, trust, fund or other entity (a </w:t>
      </w:r>
      <w:r>
        <w:rPr>
          <w:rFonts w:ascii="Arial" w:cs="Arial" w:eastAsia="Arial" w:hAnsi="Arial"/>
          <w:sz w:val="16"/>
          <w:szCs w:val="16"/>
          <w:b w:val="1"/>
          <w:bCs w:val="1"/>
          <w:color w:val="auto"/>
        </w:rPr>
        <w:t>Replacement Lender</w:t>
      </w:r>
      <w:r>
        <w:rPr>
          <w:rFonts w:ascii="Arial" w:cs="Arial" w:eastAsia="Arial" w:hAnsi="Arial"/>
          <w:sz w:val="16"/>
          <w:szCs w:val="16"/>
          <w:color w:val="auto"/>
        </w:rPr>
        <w:t>) selected by the Borrower, and which (unless the Agent is an Impaired Agent) is acceptable to the Agent (acting 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68" w:lineRule="exact"/>
        <w:rPr>
          <w:rFonts w:ascii="Arial" w:cs="Arial" w:eastAsia="Arial" w:hAnsi="Arial"/>
          <w:sz w:val="16"/>
          <w:szCs w:val="16"/>
          <w:color w:val="auto"/>
        </w:rPr>
      </w:pPr>
    </w:p>
    <w:p>
      <w:pPr>
        <w:ind w:left="1040" w:hanging="526"/>
        <w:spacing w:after="0"/>
        <w:tabs>
          <w:tab w:leader="none" w:pos="104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 or the Security Agent;</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 to find a Replacement Lender;</w:t>
      </w:r>
    </w:p>
    <w:p>
      <w:pPr>
        <w:spacing w:after="0" w:line="225" w:lineRule="exact"/>
        <w:rPr>
          <w:rFonts w:ascii="Arial" w:cs="Arial" w:eastAsia="Arial" w:hAnsi="Arial"/>
          <w:sz w:val="18"/>
          <w:szCs w:val="18"/>
          <w:color w:val="auto"/>
        </w:rPr>
      </w:pPr>
    </w:p>
    <w:p>
      <w:pPr>
        <w:ind w:left="1540" w:right="220" w:hanging="508"/>
        <w:spacing w:after="0" w:line="277" w:lineRule="auto"/>
        <w:tabs>
          <w:tab w:leader="none" w:pos="1574" w:val="left"/>
        </w:tabs>
        <w:numPr>
          <w:ilvl w:val="1"/>
          <w:numId w:val="548"/>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41.5(a) above (or such other longer period as agreed by the Majority Lenders); and</w:t>
      </w:r>
    </w:p>
    <w:p>
      <w:pPr>
        <w:spacing w:after="0" w:line="170" w:lineRule="exact"/>
        <w:rPr>
          <w:rFonts w:ascii="Arial" w:cs="Arial" w:eastAsia="Arial" w:hAnsi="Arial"/>
          <w:sz w:val="18"/>
          <w:szCs w:val="18"/>
          <w:color w:val="auto"/>
        </w:rPr>
      </w:pPr>
    </w:p>
    <w:p>
      <w:pPr>
        <w:ind w:left="1540" w:right="340" w:hanging="508"/>
        <w:spacing w:after="0" w:line="277" w:lineRule="auto"/>
        <w:tabs>
          <w:tab w:leader="none" w:pos="1550" w:val="left"/>
        </w:tabs>
        <w:numPr>
          <w:ilvl w:val="1"/>
          <w:numId w:val="548"/>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5"/>
          <w:szCs w:val="15"/>
          <w:b w:val="1"/>
          <w:bCs w:val="1"/>
          <w:color w:val="auto"/>
        </w:rPr>
        <w:t>Excluded Commitments; “Snooze you lose”</w:t>
      </w:r>
    </w:p>
    <w:p>
      <w:pPr>
        <w:spacing w:after="0" w:line="229" w:lineRule="exact"/>
        <w:rPr>
          <w:sz w:val="20"/>
          <w:szCs w:val="20"/>
          <w:color w:val="auto"/>
        </w:rPr>
      </w:pPr>
    </w:p>
    <w:p>
      <w:pPr>
        <w:ind w:left="1040" w:right="220" w:hanging="526"/>
        <w:spacing w:after="0" w:line="263" w:lineRule="auto"/>
        <w:tabs>
          <w:tab w:leader="none" w:pos="103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20 Business Days of that request being made (unless the Borrower and the Agent agree to a longer time period in relation to any request):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9" w:name="page390"/>
    <w:bookmarkEnd w:id="389"/>
    <w:p>
      <w:pPr>
        <w:jc w:val="both"/>
        <w:ind w:left="1540" w:right="260" w:hanging="508"/>
        <w:spacing w:after="0" w:line="286" w:lineRule="auto"/>
        <w:tabs>
          <w:tab w:leader="none" w:pos="1555" w:val="left"/>
        </w:tabs>
        <w:numPr>
          <w:ilvl w:val="0"/>
          <w:numId w:val="550"/>
        </w:numPr>
        <w:rPr>
          <w:rFonts w:ascii="Arial" w:cs="Arial" w:eastAsia="Arial" w:hAnsi="Arial"/>
          <w:sz w:val="17"/>
          <w:szCs w:val="17"/>
          <w:color w:val="auto"/>
        </w:rPr>
      </w:pPr>
      <w:r>
        <w:rPr>
          <w:rFonts w:ascii="Arial" w:cs="Arial" w:eastAsia="Arial" w:hAnsi="Arial"/>
          <w:sz w:val="17"/>
          <w:szCs w:val="17"/>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165" w:lineRule="exact"/>
        <w:rPr>
          <w:rFonts w:ascii="Arial" w:cs="Arial" w:eastAsia="Arial" w:hAnsi="Arial"/>
          <w:sz w:val="17"/>
          <w:szCs w:val="17"/>
          <w:color w:val="auto"/>
        </w:rPr>
      </w:pPr>
    </w:p>
    <w:p>
      <w:pPr>
        <w:ind w:left="1540" w:right="240" w:hanging="508"/>
        <w:spacing w:after="0" w:line="277" w:lineRule="auto"/>
        <w:tabs>
          <w:tab w:leader="none" w:pos="156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3"/>
          <w:szCs w:val="13"/>
          <w:b w:val="1"/>
          <w:bCs w:val="1"/>
          <w:color w:val="auto"/>
        </w:rPr>
        <w:t>Releases</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 Agent shall not have authority to authorise the Security Agent to release:</w:t>
      </w:r>
    </w:p>
    <w:p>
      <w:pPr>
        <w:spacing w:after="0" w:line="170" w:lineRule="exact"/>
        <w:rPr>
          <w:sz w:val="20"/>
          <w:szCs w:val="20"/>
          <w:color w:val="auto"/>
        </w:rPr>
      </w:pPr>
    </w:p>
    <w:p>
      <w:pPr>
        <w:ind w:left="1020" w:hanging="506"/>
        <w:spacing w:after="0"/>
        <w:tabs>
          <w:tab w:leader="none" w:pos="102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5"/>
          <w:szCs w:val="15"/>
          <w:b w:val="1"/>
          <w:bCs w:val="1"/>
          <w:color w:val="auto"/>
        </w:rPr>
        <w:t>Replacement of Screen Rate</w:t>
      </w:r>
    </w:p>
    <w:p>
      <w:pPr>
        <w:spacing w:after="0" w:line="229" w:lineRule="exact"/>
        <w:rPr>
          <w:sz w:val="20"/>
          <w:szCs w:val="20"/>
          <w:color w:val="auto"/>
        </w:rPr>
      </w:pPr>
    </w:p>
    <w:p>
      <w:pPr>
        <w:ind w:left="1040" w:hanging="526"/>
        <w:spacing w:after="0" w:line="277" w:lineRule="auto"/>
        <w:tabs>
          <w:tab w:leader="none" w:pos="1032" w:val="left"/>
        </w:tabs>
        <w:numPr>
          <w:ilvl w:val="0"/>
          <w:numId w:val="552"/>
        </w:numPr>
        <w:rPr>
          <w:rFonts w:ascii="Arial" w:cs="Arial" w:eastAsia="Arial" w:hAnsi="Arial"/>
          <w:sz w:val="18"/>
          <w:szCs w:val="18"/>
          <w:color w:val="auto"/>
        </w:rPr>
      </w:pPr>
      <w:r>
        <w:rPr>
          <w:rFonts w:ascii="Arial" w:cs="Arial" w:eastAsia="Arial" w:hAnsi="Arial"/>
          <w:sz w:val="18"/>
          <w:szCs w:val="18"/>
          <w:color w:val="auto"/>
        </w:rPr>
        <w:t>Subject to clause 41.3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w:t>
      </w:r>
    </w:p>
    <w:p>
      <w:pPr>
        <w:spacing w:after="0" w:line="170" w:lineRule="exact"/>
        <w:rPr>
          <w:rFonts w:ascii="Arial" w:cs="Arial" w:eastAsia="Arial" w:hAnsi="Arial"/>
          <w:sz w:val="18"/>
          <w:szCs w:val="18"/>
          <w:color w:val="auto"/>
        </w:rPr>
      </w:pPr>
    </w:p>
    <w:p>
      <w:pPr>
        <w:ind w:left="1560" w:hanging="528"/>
        <w:spacing w:after="0"/>
        <w:tabs>
          <w:tab w:leader="none" w:pos="156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820" w:hanging="516"/>
        <w:spacing w:after="0"/>
        <w:tabs>
          <w:tab w:leader="none" w:pos="18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25" w:lineRule="exact"/>
        <w:rPr>
          <w:rFonts w:ascii="Arial" w:cs="Arial" w:eastAsia="Arial" w:hAnsi="Arial"/>
          <w:sz w:val="18"/>
          <w:szCs w:val="18"/>
          <w:color w:val="auto"/>
        </w:rPr>
      </w:pPr>
    </w:p>
    <w:p>
      <w:pPr>
        <w:jc w:val="both"/>
        <w:ind w:left="1800" w:right="660" w:hanging="496"/>
        <w:spacing w:after="0" w:line="263" w:lineRule="auto"/>
        <w:tabs>
          <w:tab w:leader="none" w:pos="180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25" w:lineRule="exact"/>
        <w:rPr>
          <w:rFonts w:ascii="Arial" w:cs="Arial" w:eastAsia="Arial" w:hAnsi="Arial"/>
          <w:sz w:val="18"/>
          <w:szCs w:val="18"/>
          <w:color w:val="auto"/>
        </w:rPr>
      </w:pPr>
    </w:p>
    <w:p>
      <w:pPr>
        <w:ind w:left="1800" w:right="20" w:hanging="496"/>
        <w:spacing w:after="0" w:line="279" w:lineRule="auto"/>
        <w:tabs>
          <w:tab w:leader="none" w:pos="1808" w:val="left"/>
        </w:tabs>
        <w:numPr>
          <w:ilvl w:val="0"/>
          <w:numId w:val="553"/>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w:t>
      </w:r>
    </w:p>
    <w:p>
      <w:pPr>
        <w:spacing w:after="0" w:line="225" w:lineRule="exact"/>
        <w:rPr>
          <w:sz w:val="20"/>
          <w:szCs w:val="20"/>
          <w:color w:val="auto"/>
        </w:rPr>
      </w:pPr>
    </w:p>
    <w:p>
      <w:pPr>
        <w:ind w:left="1040" w:hanging="526"/>
        <w:spacing w:after="0"/>
        <w:tabs>
          <w:tab w:leader="none" w:pos="10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For the purposes of this clause 41.8, the following definitions shall have the following meanings:</w:t>
      </w:r>
    </w:p>
    <w:p>
      <w:pPr>
        <w:spacing w:after="0" w:line="221" w:lineRule="exact"/>
        <w:rPr>
          <w:sz w:val="20"/>
          <w:szCs w:val="20"/>
          <w:color w:val="auto"/>
        </w:rPr>
      </w:pPr>
    </w:p>
    <w:p>
      <w:pPr>
        <w:ind w:left="520" w:right="4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Nominating Body</w:t>
      </w:r>
      <w:r>
        <w:rPr>
          <w:rFonts w:ascii="Arial" w:cs="Arial" w:eastAsia="Arial" w:hAnsi="Arial"/>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0" w:name="page391"/>
    <w:bookmarkEnd w:id="390"/>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29" w:lineRule="exact"/>
        <w:rPr>
          <w:sz w:val="20"/>
          <w:szCs w:val="20"/>
          <w:color w:val="auto"/>
        </w:rPr>
      </w:pPr>
    </w:p>
    <w:p>
      <w:pPr>
        <w:ind w:left="506" w:hanging="506"/>
        <w:spacing w:after="0"/>
        <w:tabs>
          <w:tab w:leader="none" w:pos="50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25" w:lineRule="exact"/>
        <w:rPr>
          <w:rFonts w:ascii="Arial" w:cs="Arial" w:eastAsia="Arial" w:hAnsi="Arial"/>
          <w:sz w:val="18"/>
          <w:szCs w:val="18"/>
          <w:color w:val="auto"/>
        </w:rPr>
      </w:pPr>
    </w:p>
    <w:p>
      <w:pPr>
        <w:ind w:left="1046" w:hanging="528"/>
        <w:spacing w:after="0"/>
        <w:tabs>
          <w:tab w:leader="none" w:pos="104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225" w:lineRule="exact"/>
        <w:rPr>
          <w:rFonts w:ascii="Arial" w:cs="Arial" w:eastAsia="Arial" w:hAnsi="Arial"/>
          <w:sz w:val="18"/>
          <w:szCs w:val="18"/>
          <w:color w:val="auto"/>
        </w:rPr>
      </w:pPr>
    </w:p>
    <w:p>
      <w:pPr>
        <w:ind w:left="1046" w:hanging="528"/>
        <w:spacing w:after="0"/>
        <w:tabs>
          <w:tab w:leader="none" w:pos="1046"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25" w:lineRule="exact"/>
        <w:rPr>
          <w:sz w:val="20"/>
          <w:szCs w:val="20"/>
          <w:color w:val="auto"/>
        </w:rPr>
      </w:pPr>
    </w:p>
    <w:p>
      <w:pPr>
        <w:ind w:left="506" w:right="96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70" w:lineRule="exact"/>
        <w:rPr>
          <w:sz w:val="20"/>
          <w:szCs w:val="20"/>
          <w:color w:val="auto"/>
        </w:rPr>
      </w:pPr>
    </w:p>
    <w:p>
      <w:pPr>
        <w:ind w:left="526" w:right="320" w:hanging="526"/>
        <w:spacing w:after="0" w:line="277" w:lineRule="auto"/>
        <w:tabs>
          <w:tab w:leader="none" w:pos="52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the Screen Rate; or</w:t>
      </w:r>
    </w:p>
    <w:p>
      <w:pPr>
        <w:spacing w:after="0" w:line="170" w:lineRule="exact"/>
        <w:rPr>
          <w:rFonts w:ascii="Arial" w:cs="Arial" w:eastAsia="Arial" w:hAnsi="Arial"/>
          <w:sz w:val="18"/>
          <w:szCs w:val="18"/>
          <w:color w:val="auto"/>
        </w:rPr>
      </w:pPr>
    </w:p>
    <w:p>
      <w:pPr>
        <w:ind w:left="526" w:hanging="526"/>
        <w:spacing w:after="0"/>
        <w:tabs>
          <w:tab w:leader="none" w:pos="526"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the Screen Rate.</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the Screen Rate:</w:t>
      </w:r>
    </w:p>
    <w:p>
      <w:pPr>
        <w:spacing w:after="0" w:line="229" w:lineRule="exact"/>
        <w:rPr>
          <w:sz w:val="20"/>
          <w:szCs w:val="20"/>
          <w:color w:val="auto"/>
        </w:rPr>
      </w:pPr>
    </w:p>
    <w:p>
      <w:pPr>
        <w:ind w:left="526" w:right="360" w:hanging="526"/>
        <w:spacing w:after="0" w:line="277" w:lineRule="auto"/>
        <w:tabs>
          <w:tab w:leader="none" w:pos="518"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all Lenders, and the Borrower materially changed; or</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526"/>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1306" w:hanging="516"/>
        <w:spacing w:after="0"/>
        <w:tabs>
          <w:tab w:leader="none" w:pos="1306" w:val="left"/>
        </w:tabs>
        <w:numPr>
          <w:ilvl w:val="0"/>
          <w:numId w:val="558"/>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225" w:lineRule="exact"/>
        <w:rPr>
          <w:rFonts w:ascii="Arial" w:cs="Arial" w:eastAsia="Arial" w:hAnsi="Arial"/>
          <w:sz w:val="18"/>
          <w:szCs w:val="18"/>
          <w:color w:val="auto"/>
        </w:rPr>
      </w:pPr>
    </w:p>
    <w:p>
      <w:pPr>
        <w:ind w:left="1286" w:right="540" w:hanging="496"/>
        <w:spacing w:after="0" w:line="263" w:lineRule="auto"/>
        <w:tabs>
          <w:tab w:leader="none" w:pos="129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 or</w:t>
      </w:r>
    </w:p>
    <w:p>
      <w:pPr>
        <w:spacing w:after="0" w:line="225" w:lineRule="exact"/>
        <w:rPr>
          <w:sz w:val="20"/>
          <w:szCs w:val="20"/>
          <w:color w:val="auto"/>
        </w:rPr>
      </w:pPr>
    </w:p>
    <w:p>
      <w:pPr>
        <w:ind w:left="1026" w:right="180" w:hanging="508"/>
        <w:spacing w:after="0" w:line="308" w:lineRule="auto"/>
        <w:tabs>
          <w:tab w:leader="none" w:pos="1051" w:val="left"/>
        </w:tabs>
        <w:numPr>
          <w:ilvl w:val="1"/>
          <w:numId w:val="559"/>
        </w:numPr>
        <w:rPr>
          <w:rFonts w:ascii="Arial" w:cs="Arial" w:eastAsia="Arial" w:hAnsi="Arial"/>
          <w:sz w:val="17"/>
          <w:szCs w:val="17"/>
          <w:color w:val="auto"/>
        </w:rPr>
      </w:pPr>
      <w:r>
        <w:rPr>
          <w:rFonts w:ascii="Arial" w:cs="Arial" w:eastAsia="Arial" w:hAnsi="Arial"/>
          <w:sz w:val="17"/>
          <w:szCs w:val="17"/>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146" w:lineRule="exact"/>
        <w:rPr>
          <w:rFonts w:ascii="Arial" w:cs="Arial" w:eastAsia="Arial" w:hAnsi="Arial"/>
          <w:sz w:val="17"/>
          <w:szCs w:val="17"/>
          <w:color w:val="auto"/>
        </w:rPr>
      </w:pPr>
    </w:p>
    <w:p>
      <w:pPr>
        <w:ind w:left="1026" w:right="300" w:hanging="508"/>
        <w:spacing w:after="0" w:line="277" w:lineRule="auto"/>
        <w:tabs>
          <w:tab w:leader="none" w:pos="106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70" w:lineRule="exact"/>
        <w:rPr>
          <w:rFonts w:ascii="Arial" w:cs="Arial" w:eastAsia="Arial" w:hAnsi="Arial"/>
          <w:sz w:val="18"/>
          <w:szCs w:val="18"/>
          <w:color w:val="auto"/>
        </w:rPr>
      </w:pPr>
    </w:p>
    <w:p>
      <w:pPr>
        <w:ind w:left="1026" w:hanging="508"/>
        <w:spacing w:after="0"/>
        <w:tabs>
          <w:tab w:leader="none" w:pos="1026" w:val="left"/>
        </w:tabs>
        <w:numPr>
          <w:ilvl w:val="1"/>
          <w:numId w:val="559"/>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225" w:lineRule="exact"/>
        <w:rPr>
          <w:rFonts w:ascii="Arial" w:cs="Arial" w:eastAsia="Arial" w:hAnsi="Arial"/>
          <w:sz w:val="18"/>
          <w:szCs w:val="18"/>
          <w:color w:val="auto"/>
        </w:rPr>
      </w:pPr>
    </w:p>
    <w:p>
      <w:pPr>
        <w:ind w:left="526" w:hanging="526"/>
        <w:spacing w:after="0" w:line="277" w:lineRule="auto"/>
        <w:tabs>
          <w:tab w:leader="none" w:pos="531"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70" w:lineRule="exact"/>
        <w:rPr>
          <w:rFonts w:ascii="Arial" w:cs="Arial" w:eastAsia="Arial" w:hAnsi="Arial"/>
          <w:sz w:val="18"/>
          <w:szCs w:val="18"/>
          <w:color w:val="auto"/>
        </w:rPr>
      </w:pPr>
    </w:p>
    <w:p>
      <w:pPr>
        <w:ind w:left="1026" w:right="520" w:hanging="508"/>
        <w:spacing w:after="0" w:line="277" w:lineRule="auto"/>
        <w:tabs>
          <w:tab w:leader="none" w:pos="1041" w:val="left"/>
        </w:tabs>
        <w:numPr>
          <w:ilvl w:val="1"/>
          <w:numId w:val="560"/>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 temporary; or</w:t>
      </w:r>
    </w:p>
    <w:p>
      <w:pPr>
        <w:spacing w:after="0" w:line="170" w:lineRule="exact"/>
        <w:rPr>
          <w:rFonts w:ascii="Arial" w:cs="Arial" w:eastAsia="Arial" w:hAnsi="Arial"/>
          <w:sz w:val="18"/>
          <w:szCs w:val="18"/>
          <w:color w:val="auto"/>
        </w:rPr>
      </w:pPr>
    </w:p>
    <w:p>
      <w:pPr>
        <w:ind w:left="1046" w:hanging="528"/>
        <w:spacing w:after="0"/>
        <w:tabs>
          <w:tab w:leader="none" w:pos="1046" w:val="left"/>
        </w:tabs>
        <w:numPr>
          <w:ilvl w:val="1"/>
          <w:numId w:val="560"/>
        </w:numPr>
        <w:rPr>
          <w:rFonts w:ascii="Arial" w:cs="Arial" w:eastAsia="Arial" w:hAnsi="Arial"/>
          <w:sz w:val="17"/>
          <w:szCs w:val="17"/>
          <w:color w:val="auto"/>
        </w:rPr>
      </w:pPr>
      <w:r>
        <w:rPr>
          <w:rFonts w:ascii="Arial" w:cs="Arial" w:eastAsia="Arial" w:hAnsi="Arial"/>
          <w:sz w:val="17"/>
          <w:szCs w:val="17"/>
          <w:color w:val="auto"/>
        </w:rPr>
        <w:t>that Screen Rate is calculated in accordance with any such policy or arrangement for a period no less than 15 Business Days; or</w:t>
      </w:r>
    </w:p>
    <w:p>
      <w:pPr>
        <w:spacing w:after="0" w:line="237"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6"/>
          </w:cols>
          <w:pgMar w:left="834" w:top="337" w:right="339" w:bottom="1440" w:gutter="0" w:footer="0" w:header="0"/>
        </w:sectPr>
      </w:pPr>
    </w:p>
    <w:bookmarkStart w:id="391" w:name="page392"/>
    <w:bookmarkEnd w:id="391"/>
    <w:p>
      <w:pPr>
        <w:ind w:left="1040" w:right="200" w:hanging="526"/>
        <w:spacing w:after="0" w:line="277" w:lineRule="auto"/>
        <w:tabs>
          <w:tab w:leader="none" w:pos="1042" w:val="left"/>
        </w:tabs>
        <w:numPr>
          <w:ilvl w:val="0"/>
          <w:numId w:val="561"/>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the Screen Rate is otherwise no longer appropriate for the purposes of calculating interest under this Agreement.</w:t>
      </w:r>
    </w:p>
    <w:p>
      <w:pPr>
        <w:spacing w:after="0" w:line="166" w:lineRule="exact"/>
        <w:rPr>
          <w:sz w:val="20"/>
          <w:szCs w:val="20"/>
          <w:color w:val="auto"/>
        </w:rPr>
      </w:pPr>
    </w:p>
    <w:p>
      <w:pPr>
        <w:ind w:left="520" w:hanging="512"/>
        <w:spacing w:after="0"/>
        <w:tabs>
          <w:tab w:leader="none" w:pos="52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rFonts w:ascii="Arial" w:cs="Arial" w:eastAsia="Arial" w:hAnsi="Arial"/>
          <w:sz w:val="18"/>
          <w:szCs w:val="18"/>
          <w:b w:val="1"/>
          <w:bCs w:val="1"/>
          <w:color w:val="auto"/>
        </w:rPr>
      </w:pPr>
    </w:p>
    <w:p>
      <w:pPr>
        <w:ind w:left="5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6" w:lineRule="exact"/>
        <w:rPr>
          <w:rFonts w:ascii="Arial" w:cs="Arial" w:eastAsia="Arial" w:hAnsi="Arial"/>
          <w:sz w:val="18"/>
          <w:szCs w:val="18"/>
          <w:b w:val="1"/>
          <w:bCs w:val="1"/>
          <w:color w:val="auto"/>
        </w:rPr>
      </w:pPr>
    </w:p>
    <w:p>
      <w:pPr>
        <w:ind w:left="520" w:hanging="512"/>
        <w:spacing w:after="0"/>
        <w:tabs>
          <w:tab w:leader="none" w:pos="52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Each Finance Party agrees to keep all Confidential Information confidential and not to disclose it to anyone, save to the extent permitted by</w:t>
      </w:r>
    </w:p>
    <w:p>
      <w:pPr>
        <w:spacing w:after="0" w:line="35" w:lineRule="exact"/>
        <w:rPr>
          <w:sz w:val="20"/>
          <w:szCs w:val="20"/>
          <w:color w:val="auto"/>
        </w:rPr>
      </w:pPr>
    </w:p>
    <w:p>
      <w:pPr>
        <w:ind w:left="520" w:right="20"/>
        <w:spacing w:after="0" w:line="253" w:lineRule="auto"/>
        <w:rPr>
          <w:sz w:val="20"/>
          <w:szCs w:val="20"/>
          <w:color w:val="auto"/>
        </w:rPr>
      </w:pPr>
      <w:r>
        <w:rPr>
          <w:rFonts w:ascii="Arial" w:cs="Arial" w:eastAsia="Arial" w:hAnsi="Arial"/>
          <w:sz w:val="18"/>
          <w:szCs w:val="18"/>
          <w:color w:val="auto"/>
        </w:rPr>
        <w:t>clause 43.2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43.3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 To the extent that Confidential Information comprises personal information of any officer, director or employee of an Obligor, each Finance Party agrees to hold that personal information in accordance with applicable privacy laws.</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6"/>
          <w:szCs w:val="16"/>
          <w:b w:val="1"/>
          <w:bCs w:val="1"/>
          <w:color w:val="auto"/>
        </w:rPr>
        <w:t>Disclosure of Confidential Information</w:t>
      </w:r>
    </w:p>
    <w:p>
      <w:pPr>
        <w:spacing w:after="0" w:line="22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70" w:lineRule="exact"/>
        <w:rPr>
          <w:sz w:val="20"/>
          <w:szCs w:val="20"/>
          <w:color w:val="auto"/>
        </w:rPr>
      </w:pPr>
    </w:p>
    <w:p>
      <w:pPr>
        <w:ind w:left="1040" w:right="80" w:hanging="526"/>
        <w:spacing w:after="0" w:line="277" w:lineRule="auto"/>
        <w:tabs>
          <w:tab w:leader="none" w:pos="1032"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may potentially assign) all or any of its rights and obligations under the Finance Documents;</w:t>
      </w:r>
    </w:p>
    <w:p>
      <w:pPr>
        <w:spacing w:after="0" w:line="170" w:lineRule="exact"/>
        <w:rPr>
          <w:rFonts w:ascii="Arial" w:cs="Arial" w:eastAsia="Arial" w:hAnsi="Arial"/>
          <w:sz w:val="18"/>
          <w:szCs w:val="18"/>
          <w:color w:val="auto"/>
        </w:rPr>
      </w:pPr>
    </w:p>
    <w:p>
      <w:pPr>
        <w:ind w:left="1040" w:right="580" w:hanging="526"/>
        <w:spacing w:after="0" w:line="277" w:lineRule="auto"/>
        <w:tabs>
          <w:tab w:leader="none" w:pos="1042"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30.7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right="100" w:hanging="526"/>
        <w:spacing w:after="0" w:line="308" w:lineRule="auto"/>
        <w:tabs>
          <w:tab w:leader="none" w:pos="1045" w:val="left"/>
        </w:tabs>
        <w:numPr>
          <w:ilvl w:val="0"/>
          <w:numId w:val="563"/>
        </w:numPr>
        <w:rPr>
          <w:rFonts w:ascii="Arial" w:cs="Arial" w:eastAsia="Arial" w:hAnsi="Arial"/>
          <w:sz w:val="17"/>
          <w:szCs w:val="17"/>
          <w:color w:val="auto"/>
        </w:rPr>
      </w:pPr>
      <w:r>
        <w:rPr>
          <w:rFonts w:ascii="Arial" w:cs="Arial" w:eastAsia="Arial" w:hAnsi="Arial"/>
          <w:sz w:val="17"/>
          <w:szCs w:val="17"/>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146" w:lineRule="exact"/>
        <w:rPr>
          <w:rFonts w:ascii="Arial" w:cs="Arial" w:eastAsia="Arial" w:hAnsi="Arial"/>
          <w:sz w:val="17"/>
          <w:szCs w:val="17"/>
          <w:color w:val="auto"/>
        </w:rPr>
      </w:pPr>
    </w:p>
    <w:p>
      <w:pPr>
        <w:ind w:left="1040" w:hanging="526"/>
        <w:spacing w:after="0"/>
        <w:tabs>
          <w:tab w:leader="none" w:pos="10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225" w:lineRule="exact"/>
        <w:rPr>
          <w:rFonts w:ascii="Arial" w:cs="Arial" w:eastAsia="Arial" w:hAnsi="Arial"/>
          <w:sz w:val="18"/>
          <w:szCs w:val="18"/>
          <w:color w:val="auto"/>
        </w:rPr>
      </w:pPr>
    </w:p>
    <w:p>
      <w:pPr>
        <w:ind w:left="1040" w:right="440" w:hanging="526"/>
        <w:spacing w:after="0" w:line="277" w:lineRule="auto"/>
        <w:tabs>
          <w:tab w:leader="none" w:pos="1039"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and brokers);</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225" w:lineRule="exact"/>
        <w:rPr>
          <w:rFonts w:ascii="Arial" w:cs="Arial" w:eastAsia="Arial" w:hAnsi="Arial"/>
          <w:sz w:val="18"/>
          <w:szCs w:val="18"/>
          <w:color w:val="auto"/>
        </w:rPr>
      </w:pPr>
    </w:p>
    <w:p>
      <w:pPr>
        <w:ind w:left="1040" w:right="160" w:hanging="526"/>
        <w:spacing w:after="0" w:line="277" w:lineRule="auto"/>
        <w:tabs>
          <w:tab w:leader="none" w:pos="1042"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70" w:lineRule="exact"/>
        <w:rPr>
          <w:sz w:val="20"/>
          <w:szCs w:val="20"/>
          <w:color w:val="auto"/>
        </w:rPr>
      </w:pPr>
    </w:p>
    <w:p>
      <w:pPr>
        <w:ind w:left="520"/>
        <w:spacing w:after="0" w:line="291" w:lineRule="auto"/>
        <w:rPr>
          <w:sz w:val="20"/>
          <w:szCs w:val="20"/>
          <w:color w:val="auto"/>
        </w:rPr>
      </w:pPr>
      <w:r>
        <w:rPr>
          <w:rFonts w:ascii="Arial" w:cs="Arial" w:eastAsia="Arial" w:hAnsi="Arial"/>
          <w:sz w:val="16"/>
          <w:szCs w:val="16"/>
          <w:color w:val="auto"/>
        </w:rPr>
        <w:t>any Confidential Information or any other information about any Obligor, the Group and the Finance Documents as that Finance Party shall consider appropriate if any such person has entered into a Confidentiality Undertaking, provided that any disclosure made to the persons setout in paragraph</w:t>
      </w:r>
    </w:p>
    <w:p>
      <w:pPr>
        <w:ind w:left="5480" w:right="5480" w:hanging="4962"/>
        <w:spacing w:after="0" w:line="605" w:lineRule="auto"/>
        <w:tabs>
          <w:tab w:leader="none" w:pos="724" w:val="left"/>
        </w:tabs>
        <w:numPr>
          <w:ilvl w:val="0"/>
          <w:numId w:val="564"/>
        </w:numPr>
        <w:rPr>
          <w:rFonts w:ascii="Arial" w:cs="Arial" w:eastAsia="Arial" w:hAnsi="Arial"/>
          <w:sz w:val="16"/>
          <w:szCs w:val="16"/>
          <w:color w:val="auto"/>
        </w:rPr>
      </w:pPr>
      <w:r>
        <w:rPr>
          <w:rFonts w:ascii="Arial" w:cs="Arial" w:eastAsia="Arial" w:hAnsi="Arial"/>
          <w:sz w:val="16"/>
          <w:szCs w:val="16"/>
          <w:color w:val="auto"/>
        </w:rPr>
        <w:t>above) is supported by a notice as to the confidential nature of such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532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2" w:name="page393"/>
    <w:bookmarkEnd w:id="392"/>
    <w:p>
      <w:pPr>
        <w:jc w:val="both"/>
        <w:ind w:left="520"/>
        <w:spacing w:after="0" w:line="263" w:lineRule="auto"/>
        <w:rPr>
          <w:sz w:val="20"/>
          <w:szCs w:val="20"/>
          <w:color w:val="auto"/>
        </w:rPr>
      </w:pPr>
      <w:r>
        <w:rPr>
          <w:rFonts w:ascii="Arial" w:cs="Arial" w:eastAsia="Arial" w:hAnsi="Arial"/>
          <w:sz w:val="18"/>
          <w:szCs w:val="18"/>
          <w:color w:val="auto"/>
        </w:rPr>
        <w:t>information; and any Finance Party may disclose (with the consent of the Borrower) to any other person not included in paragraphs (a) — (h) above, any Confidential Information or any other information about any Obligor, the Group and the Finance Documents as that Finance Party shall consider appropriate if any such person has entered into a Confidentiality Undertaking.</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5"/>
          <w:szCs w:val="15"/>
          <w:b w:val="1"/>
          <w:bCs w:val="1"/>
          <w:color w:val="auto"/>
        </w:rPr>
        <w:t>Disclosure to numbering service providers</w:t>
      </w:r>
    </w:p>
    <w:p>
      <w:pPr>
        <w:spacing w:after="0" w:line="229" w:lineRule="exact"/>
        <w:rPr>
          <w:sz w:val="20"/>
          <w:szCs w:val="20"/>
          <w:color w:val="auto"/>
        </w:rPr>
      </w:pPr>
    </w:p>
    <w:p>
      <w:pPr>
        <w:ind w:left="1040" w:right="480" w:hanging="526"/>
        <w:spacing w:after="0" w:line="342" w:lineRule="auto"/>
        <w:tabs>
          <w:tab w:leader="none" w:pos="1032" w:val="left"/>
        </w:tabs>
        <w:numPr>
          <w:ilvl w:val="0"/>
          <w:numId w:val="565"/>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23" w:lineRule="exact"/>
        <w:rPr>
          <w:rFonts w:ascii="Arial" w:cs="Arial" w:eastAsia="Arial" w:hAnsi="Arial"/>
          <w:sz w:val="16"/>
          <w:szCs w:val="16"/>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25" w:lineRule="exact"/>
        <w:rPr>
          <w:rFonts w:ascii="Arial" w:cs="Arial" w:eastAsia="Arial" w:hAnsi="Arial"/>
          <w:sz w:val="18"/>
          <w:szCs w:val="18"/>
          <w:color w:val="auto"/>
        </w:rPr>
      </w:pPr>
    </w:p>
    <w:p>
      <w:pPr>
        <w:ind w:left="1580" w:hanging="548"/>
        <w:spacing w:after="0"/>
        <w:tabs>
          <w:tab w:leader="none" w:pos="158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clause 44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ranking of the Facility;</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term of the Facility;</w:t>
      </w:r>
    </w:p>
    <w:p>
      <w:pPr>
        <w:spacing w:after="0" w:line="225" w:lineRule="exact"/>
        <w:rPr>
          <w:rFonts w:ascii="Arial" w:cs="Arial" w:eastAsia="Arial" w:hAnsi="Arial"/>
          <w:sz w:val="18"/>
          <w:szCs w:val="18"/>
          <w:color w:val="auto"/>
        </w:rPr>
      </w:pPr>
    </w:p>
    <w:p>
      <w:pPr>
        <w:ind w:left="1560" w:hanging="528"/>
        <w:spacing w:after="0"/>
        <w:tabs>
          <w:tab w:leader="none" w:pos="156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43.3(a)(i) to 43.3(a)(xii) above; and</w:t>
      </w:r>
    </w:p>
    <w:p>
      <w:pPr>
        <w:spacing w:after="0" w:line="225" w:lineRule="exact"/>
        <w:rPr>
          <w:rFonts w:ascii="Arial" w:cs="Arial" w:eastAsia="Arial" w:hAnsi="Arial"/>
          <w:sz w:val="18"/>
          <w:szCs w:val="18"/>
          <w:color w:val="auto"/>
        </w:rPr>
      </w:pPr>
    </w:p>
    <w:p>
      <w:pPr>
        <w:ind w:left="1540" w:hanging="508"/>
        <w:spacing w:after="0"/>
        <w:tabs>
          <w:tab w:leader="none" w:pos="154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ind w:left="1040" w:right="20" w:hanging="526"/>
        <w:spacing w:after="0" w:line="263" w:lineRule="auto"/>
        <w:tabs>
          <w:tab w:leader="none" w:pos="1042"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3" w:lineRule="exact"/>
        <w:rPr>
          <w:rFonts w:ascii="Arial" w:cs="Arial" w:eastAsia="Arial" w:hAnsi="Arial"/>
          <w:sz w:val="18"/>
          <w:szCs w:val="18"/>
          <w:color w:val="auto"/>
        </w:rPr>
      </w:pPr>
    </w:p>
    <w:p>
      <w:pPr>
        <w:ind w:left="1040" w:right="840" w:hanging="526"/>
        <w:spacing w:after="0" w:line="277" w:lineRule="auto"/>
        <w:tabs>
          <w:tab w:leader="none" w:pos="1045"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Borrower represents that none of the information set out in clauses 43.3(a)(i) to 43.3(a)(xiii) above is, nor will at any time be, unpublished price-sensitive information.</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25" w:lineRule="exact"/>
        <w:rPr>
          <w:sz w:val="20"/>
          <w:szCs w:val="20"/>
          <w:color w:val="auto"/>
        </w:rPr>
      </w:pPr>
    </w:p>
    <w:p>
      <w:pPr>
        <w:ind w:left="1540" w:right="360" w:hanging="508"/>
        <w:spacing w:after="0" w:line="277" w:lineRule="auto"/>
        <w:tabs>
          <w:tab w:leader="none" w:pos="155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3" w:name="page394"/>
    <w:bookmarkEnd w:id="393"/>
    <w:p>
      <w:pPr>
        <w:ind w:left="1540" w:right="100" w:hanging="508"/>
        <w:spacing w:after="0" w:line="277" w:lineRule="auto"/>
        <w:tabs>
          <w:tab w:leader="none" w:pos="156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This clause 43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6"/>
          <w:szCs w:val="16"/>
          <w:b w:val="1"/>
          <w:bCs w:val="1"/>
          <w:color w:val="auto"/>
        </w:rPr>
        <w:t>Inside information</w:t>
      </w:r>
    </w:p>
    <w:p>
      <w:pPr>
        <w:spacing w:after="0" w:line="229" w:lineRule="exact"/>
        <w:rPr>
          <w:sz w:val="20"/>
          <w:szCs w:val="20"/>
          <w:color w:val="auto"/>
        </w:rPr>
      </w:pPr>
    </w:p>
    <w:p>
      <w:pPr>
        <w:ind w:left="520" w:right="12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5"/>
          <w:szCs w:val="15"/>
          <w:b w:val="1"/>
          <w:bCs w:val="1"/>
          <w:color w:val="auto"/>
        </w:rPr>
        <w:t>Banking secrecy laws</w:t>
      </w:r>
    </w:p>
    <w:p>
      <w:pPr>
        <w:spacing w:after="0" w:line="229" w:lineRule="exact"/>
        <w:rPr>
          <w:sz w:val="20"/>
          <w:szCs w:val="20"/>
          <w:color w:val="auto"/>
        </w:rPr>
      </w:pPr>
    </w:p>
    <w:p>
      <w:pPr>
        <w:ind w:left="1040" w:right="100" w:hanging="526"/>
        <w:spacing w:after="0" w:line="279" w:lineRule="auto"/>
        <w:tabs>
          <w:tab w:leader="none" w:pos="1032" w:val="left"/>
        </w:tabs>
        <w:numPr>
          <w:ilvl w:val="0"/>
          <w:numId w:val="569"/>
        </w:numPr>
        <w:rPr>
          <w:rFonts w:ascii="Arial" w:cs="Arial" w:eastAsia="Arial" w:hAnsi="Arial"/>
          <w:sz w:val="17"/>
          <w:szCs w:val="17"/>
          <w:color w:val="auto"/>
        </w:rPr>
      </w:pPr>
      <w:r>
        <w:rPr>
          <w:rFonts w:ascii="Arial" w:cs="Arial" w:eastAsia="Arial" w:hAnsi="Arial"/>
          <w:sz w:val="17"/>
          <w:szCs w:val="17"/>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7"/>
          <w:szCs w:val="17"/>
          <w:b w:val="1"/>
          <w:bCs w:val="1"/>
          <w:color w:val="auto"/>
        </w:rPr>
        <w:t>Disclosing Party</w:t>
      </w:r>
      <w:r>
        <w:rPr>
          <w:rFonts w:ascii="Arial" w:cs="Arial" w:eastAsia="Arial" w:hAnsi="Arial"/>
          <w:sz w:val="17"/>
          <w:szCs w:val="17"/>
          <w:color w:val="auto"/>
        </w:rPr>
        <w:t>) from any confidentiality obligations or confidentiality restrictions arising from other applicable banking secrecy and data protection legislation which would prevent a Disclosing Party from disclosing any Confidential Information in accordance with this clause 43 (</w:t>
      </w:r>
      <w:r>
        <w:rPr>
          <w:rFonts w:ascii="Arial" w:cs="Arial" w:eastAsia="Arial" w:hAnsi="Arial"/>
          <w:sz w:val="17"/>
          <w:szCs w:val="17"/>
          <w:i w:val="1"/>
          <w:iCs w:val="1"/>
          <w:color w:val="auto"/>
        </w:rPr>
        <w:t>Confidentiality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040" w:right="280" w:hanging="526"/>
        <w:spacing w:after="0" w:line="257" w:lineRule="auto"/>
        <w:tabs>
          <w:tab w:leader="none" w:pos="1042" w:val="left"/>
        </w:tabs>
        <w:numPr>
          <w:ilvl w:val="0"/>
          <w:numId w:val="569"/>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5"/>
          <w:szCs w:val="15"/>
          <w:b w:val="1"/>
          <w:bCs w:val="1"/>
          <w:color w:val="auto"/>
        </w:rPr>
        <w:t>Continuing obligations</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The obligations in this clause 43 are continuing and, in particular, shall survive and remain binding on each Finance Party for a period of twelve months from the earlier of:</w:t>
      </w:r>
    </w:p>
    <w:p>
      <w:pPr>
        <w:spacing w:after="0" w:line="170" w:lineRule="exact"/>
        <w:rPr>
          <w:sz w:val="20"/>
          <w:szCs w:val="20"/>
          <w:color w:val="auto"/>
        </w:rPr>
      </w:pPr>
    </w:p>
    <w:p>
      <w:pPr>
        <w:ind w:left="1040" w:right="960" w:hanging="526"/>
        <w:spacing w:after="0" w:line="277" w:lineRule="auto"/>
        <w:tabs>
          <w:tab w:leader="none" w:pos="103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21" w:lineRule="exact"/>
        <w:rPr>
          <w:sz w:val="20"/>
          <w:szCs w:val="20"/>
          <w:color w:val="auto"/>
        </w:rPr>
      </w:pPr>
    </w:p>
    <w:p>
      <w:pPr>
        <w:ind w:left="520" w:hanging="512"/>
        <w:spacing w:after="0"/>
        <w:tabs>
          <w:tab w:leader="none" w:pos="52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connected with it are governed by English law.</w:t>
      </w:r>
    </w:p>
    <w:p>
      <w:pPr>
        <w:spacing w:after="0" w:line="221" w:lineRule="exact"/>
        <w:rPr>
          <w:rFonts w:ascii="Arial" w:cs="Arial" w:eastAsia="Arial" w:hAnsi="Arial"/>
          <w:sz w:val="18"/>
          <w:szCs w:val="18"/>
          <w:b w:val="1"/>
          <w:bCs w:val="1"/>
          <w:color w:val="auto"/>
        </w:rPr>
      </w:pPr>
    </w:p>
    <w:p>
      <w:pPr>
        <w:ind w:left="520" w:hanging="512"/>
        <w:spacing w:after="0"/>
        <w:tabs>
          <w:tab w:leader="none" w:pos="52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45.1</w:t>
      </w:r>
      <w:r>
        <w:rPr>
          <w:sz w:val="20"/>
          <w:szCs w:val="20"/>
          <w:color w:val="auto"/>
        </w:rPr>
        <w:tab/>
      </w:r>
      <w:r>
        <w:rPr>
          <w:rFonts w:ascii="Arial" w:cs="Arial" w:eastAsia="Arial" w:hAnsi="Arial"/>
          <w:sz w:val="16"/>
          <w:szCs w:val="16"/>
          <w:b w:val="1"/>
          <w:bCs w:val="1"/>
          <w:color w:val="auto"/>
        </w:rPr>
        <w:t>Jurisdiction of English courts</w:t>
      </w:r>
    </w:p>
    <w:p>
      <w:pPr>
        <w:spacing w:after="0" w:line="229" w:lineRule="exact"/>
        <w:rPr>
          <w:sz w:val="20"/>
          <w:szCs w:val="20"/>
          <w:color w:val="auto"/>
        </w:rPr>
      </w:pPr>
    </w:p>
    <w:p>
      <w:pPr>
        <w:ind w:left="1040" w:right="40" w:hanging="526"/>
        <w:spacing w:after="0" w:line="342" w:lineRule="auto"/>
        <w:tabs>
          <w:tab w:leader="none" w:pos="1032"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4" w:name="page395"/>
    <w:bookmarkEnd w:id="394"/>
    <w:p>
      <w:pPr>
        <w:ind w:left="1040" w:right="220" w:hanging="526"/>
        <w:spacing w:after="0" w:line="277" w:lineRule="auto"/>
        <w:tabs>
          <w:tab w:leader="none" w:pos="1042"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70" w:lineRule="exact"/>
        <w:rPr>
          <w:rFonts w:ascii="Arial" w:cs="Arial" w:eastAsia="Arial" w:hAnsi="Arial"/>
          <w:sz w:val="18"/>
          <w:szCs w:val="18"/>
          <w:color w:val="auto"/>
        </w:rPr>
      </w:pPr>
    </w:p>
    <w:p>
      <w:pPr>
        <w:ind w:left="1040" w:right="120" w:hanging="526"/>
        <w:spacing w:after="0" w:line="263" w:lineRule="auto"/>
        <w:tabs>
          <w:tab w:leader="none" w:pos="104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This clause 45.1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5"/>
          <w:szCs w:val="15"/>
          <w:b w:val="1"/>
          <w:bCs w:val="1"/>
          <w:color w:val="auto"/>
        </w:rPr>
        <w:t>Service of process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225" w:lineRule="exact"/>
        <w:rPr>
          <w:sz w:val="20"/>
          <w:szCs w:val="20"/>
          <w:color w:val="auto"/>
        </w:rPr>
      </w:pPr>
    </w:p>
    <w:p>
      <w:pPr>
        <w:ind w:left="1040" w:right="140" w:hanging="526"/>
        <w:spacing w:after="0" w:line="277" w:lineRule="auto"/>
        <w:tabs>
          <w:tab w:leader="none" w:pos="1032"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 relevant Obligor of the process will not invalidate the proceedings concerned; and</w:t>
      </w:r>
    </w:p>
    <w:p>
      <w:pPr>
        <w:spacing w:after="0" w:line="236" w:lineRule="exact"/>
        <w:rPr>
          <w:rFonts w:ascii="Arial" w:cs="Arial" w:eastAsia="Arial" w:hAnsi="Arial"/>
          <w:sz w:val="17"/>
          <w:szCs w:val="17"/>
          <w:color w:val="auto"/>
        </w:rPr>
      </w:pPr>
    </w:p>
    <w:p>
      <w:pPr>
        <w:ind w:left="1040" w:right="280" w:hanging="526"/>
        <w:spacing w:after="0" w:line="263" w:lineRule="auto"/>
        <w:tabs>
          <w:tab w:leader="none" w:pos="104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020" w:type="dxa"/>
            <w:vAlign w:val="bottom"/>
          </w:tcPr>
          <w:p>
            <w:pPr>
              <w:jc w:val="center"/>
              <w:ind w:right="4210"/>
              <w:spacing w:after="0"/>
              <w:rPr>
                <w:sz w:val="20"/>
                <w:szCs w:val="20"/>
                <w:color w:val="auto"/>
              </w:rPr>
            </w:pPr>
            <w:r>
              <w:rPr>
                <w:rFonts w:ascii="Arial" w:cs="Arial" w:eastAsia="Arial" w:hAnsi="Arial"/>
                <w:sz w:val="18"/>
                <w:szCs w:val="18"/>
                <w:color w:val="auto"/>
                <w:w w:val="93"/>
              </w:rPr>
              <w:t>140</w:t>
            </w:r>
          </w:p>
        </w:tc>
        <w:tc>
          <w:tcPr>
            <w:tcW w:w="0" w:type="dxa"/>
            <w:vAlign w:val="bottom"/>
          </w:tcPr>
          <w:p>
            <w:pPr>
              <w:spacing w:after="0"/>
              <w:rPr>
                <w:sz w:val="1"/>
                <w:szCs w:val="1"/>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7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18"/>
        </w:trPr>
        <w:tc>
          <w:tcPr>
            <w:tcW w:w="4260" w:type="dxa"/>
            <w:vAlign w:val="bottom"/>
          </w:tcPr>
          <w:p>
            <w:pPr>
              <w:spacing w:after="0"/>
              <w:rPr>
                <w:sz w:val="24"/>
                <w:szCs w:val="24"/>
                <w:color w:val="auto"/>
              </w:rPr>
            </w:pPr>
          </w:p>
        </w:tc>
        <w:tc>
          <w:tcPr>
            <w:tcW w:w="7020" w:type="dxa"/>
            <w:vAlign w:val="bottom"/>
          </w:tcPr>
          <w:p>
            <w:pPr>
              <w:jc w:val="center"/>
              <w:ind w:right="4190"/>
              <w:spacing w:after="0"/>
              <w:rPr>
                <w:sz w:val="20"/>
                <w:szCs w:val="20"/>
                <w:color w:val="auto"/>
              </w:rPr>
            </w:pPr>
            <w:r>
              <w:rPr>
                <w:rFonts w:ascii="Arial" w:cs="Arial" w:eastAsia="Arial" w:hAnsi="Arial"/>
                <w:sz w:val="18"/>
                <w:szCs w:val="18"/>
                <w:b w:val="1"/>
                <w:bCs w:val="1"/>
                <w:color w:val="auto"/>
                <w:w w:val="86"/>
              </w:rPr>
              <w:t>Schedule 1</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7020" w:type="dxa"/>
            <w:vAlign w:val="bottom"/>
          </w:tcPr>
          <w:p>
            <w:pPr>
              <w:jc w:val="center"/>
              <w:ind w:right="4210"/>
              <w:spacing w:after="0"/>
              <w:rPr>
                <w:sz w:val="20"/>
                <w:szCs w:val="20"/>
                <w:color w:val="auto"/>
              </w:rPr>
            </w:pPr>
            <w:r>
              <w:rPr>
                <w:rFonts w:ascii="Arial" w:cs="Arial" w:eastAsia="Arial" w:hAnsi="Arial"/>
                <w:sz w:val="18"/>
                <w:szCs w:val="18"/>
                <w:b w:val="1"/>
                <w:bCs w:val="1"/>
                <w:color w:val="auto"/>
                <w:w w:val="91"/>
              </w:rPr>
              <w:t>The original parties</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7020" w:type="dxa"/>
            <w:vAlign w:val="bottom"/>
          </w:tcPr>
          <w:p>
            <w:pPr>
              <w:jc w:val="center"/>
              <w:ind w:right="4190"/>
              <w:spacing w:after="0"/>
              <w:rPr>
                <w:sz w:val="20"/>
                <w:szCs w:val="20"/>
                <w:color w:val="auto"/>
              </w:rPr>
            </w:pPr>
            <w:r>
              <w:rPr>
                <w:rFonts w:ascii="Arial" w:cs="Arial" w:eastAsia="Arial" w:hAnsi="Arial"/>
                <w:sz w:val="18"/>
                <w:szCs w:val="18"/>
                <w:b w:val="1"/>
                <w:bCs w:val="1"/>
                <w:color w:val="auto"/>
                <w:w w:val="92"/>
              </w:rPr>
              <w:t>Borrower</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020" w:type="dxa"/>
            <w:vAlign w:val="bottom"/>
          </w:tcPr>
          <w:p>
            <w:pPr>
              <w:ind w:left="80"/>
              <w:spacing w:after="0"/>
              <w:rPr>
                <w:sz w:val="20"/>
                <w:szCs w:val="20"/>
                <w:color w:val="auto"/>
              </w:rPr>
            </w:pPr>
            <w:r>
              <w:rPr>
                <w:rFonts w:ascii="Arial" w:cs="Arial" w:eastAsia="Arial" w:hAnsi="Arial"/>
                <w:sz w:val="18"/>
                <w:szCs w:val="18"/>
                <w:color w:val="auto"/>
              </w:rPr>
              <w:t>Gas-fifteen Ltd.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20" w:type="dxa"/>
            <w:vAlign w:val="bottom"/>
          </w:tcPr>
          <w:p>
            <w:pPr>
              <w:ind w:left="8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20" w:type="dxa"/>
            <w:vAlign w:val="bottom"/>
          </w:tcPr>
          <w:p>
            <w:pPr>
              <w:ind w:left="80"/>
              <w:spacing w:after="0"/>
              <w:rPr>
                <w:sz w:val="20"/>
                <w:szCs w:val="20"/>
                <w:color w:val="auto"/>
              </w:rPr>
            </w:pPr>
            <w:r>
              <w:rPr>
                <w:rFonts w:ascii="Arial" w:cs="Arial" w:eastAsia="Arial" w:hAnsi="Arial"/>
                <w:sz w:val="18"/>
                <w:szCs w:val="18"/>
                <w:color w:val="auto"/>
              </w:rPr>
              <w:t>48087</w:t>
            </w: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8"/>
                <w:szCs w:val="18"/>
                <w:b w:val="1"/>
                <w:bCs w:val="1"/>
                <w:color w:val="auto"/>
                <w:w w:val="91"/>
              </w:rPr>
              <w:t xml:space="preserve">English process agent </w:t>
            </w:r>
            <w:r>
              <w:rPr>
                <w:rFonts w:ascii="Arial" w:cs="Arial" w:eastAsia="Arial" w:hAnsi="Arial"/>
                <w:sz w:val="18"/>
                <w:szCs w:val="18"/>
                <w:color w:val="auto"/>
                <w:w w:val="91"/>
              </w:rPr>
              <w:t>(</w:t>
            </w:r>
            <w:r>
              <w:rPr>
                <w:rFonts w:ascii="Arial" w:cs="Arial" w:eastAsia="Arial" w:hAnsi="Arial"/>
                <w:sz w:val="18"/>
                <w:szCs w:val="18"/>
                <w:b w:val="1"/>
                <w:bCs w:val="1"/>
                <w:color w:val="auto"/>
                <w:w w:val="91"/>
              </w:rPr>
              <w:t>if not incorporated in England</w:t>
            </w:r>
            <w:r>
              <w:rPr>
                <w:rFonts w:ascii="Arial" w:cs="Arial" w:eastAsia="Arial" w:hAnsi="Arial"/>
                <w:sz w:val="18"/>
                <w:szCs w:val="18"/>
                <w:color w:val="auto"/>
                <w:w w:val="91"/>
              </w:rPr>
              <w:t>)</w:t>
            </w:r>
          </w:p>
        </w:tc>
        <w:tc>
          <w:tcPr>
            <w:tcW w:w="7020" w:type="dxa"/>
            <w:vAlign w:val="bottom"/>
          </w:tcPr>
          <w:p>
            <w:pPr>
              <w:ind w:left="80"/>
              <w:spacing w:after="0"/>
              <w:rPr>
                <w:sz w:val="20"/>
                <w:szCs w:val="20"/>
                <w:color w:val="auto"/>
              </w:rPr>
            </w:pPr>
            <w:r>
              <w:rPr>
                <w:rFonts w:ascii="Arial" w:cs="Arial" w:eastAsia="Arial" w:hAnsi="Arial"/>
                <w:sz w:val="18"/>
                <w:szCs w:val="18"/>
                <w:color w:val="auto"/>
              </w:rPr>
              <w:t>GasLog Services UK Ltd.</w:t>
            </w:r>
          </w:p>
        </w:tc>
        <w:tc>
          <w:tcPr>
            <w:tcW w:w="0" w:type="dxa"/>
            <w:vAlign w:val="bottom"/>
          </w:tcPr>
          <w:p>
            <w:pPr>
              <w:spacing w:after="0"/>
              <w:rPr>
                <w:sz w:val="1"/>
                <w:szCs w:val="1"/>
                <w:color w:val="auto"/>
              </w:rPr>
            </w:pPr>
          </w:p>
        </w:tc>
      </w:tr>
      <w:tr>
        <w:trPr>
          <w:trHeight w:val="216"/>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Registered office</w:t>
            </w:r>
          </w:p>
        </w:tc>
        <w:tc>
          <w:tcPr>
            <w:tcW w:w="7020" w:type="dxa"/>
            <w:vAlign w:val="bottom"/>
          </w:tcPr>
          <w:p>
            <w:pPr>
              <w:ind w:left="80"/>
              <w:spacing w:after="0"/>
              <w:rPr>
                <w:sz w:val="20"/>
                <w:szCs w:val="20"/>
                <w:color w:val="auto"/>
              </w:rPr>
            </w:pPr>
            <w:r>
              <w:rPr>
                <w:rFonts w:ascii="Arial" w:cs="Arial" w:eastAsia="Arial" w:hAnsi="Arial"/>
                <w:sz w:val="18"/>
                <w:szCs w:val="18"/>
                <w:color w:val="auto"/>
              </w:rPr>
              <w:t>C/O 81 Kings Road, London, SW3 4XN, United Kingdom</w:t>
            </w:r>
          </w:p>
        </w:tc>
        <w:tc>
          <w:tcPr>
            <w:tcW w:w="0" w:type="dxa"/>
            <w:vAlign w:val="bottom"/>
          </w:tcPr>
          <w:p>
            <w:pPr>
              <w:spacing w:after="0"/>
              <w:rPr>
                <w:sz w:val="1"/>
                <w:szCs w:val="1"/>
                <w:color w:val="auto"/>
              </w:rPr>
            </w:pPr>
          </w:p>
        </w:tc>
      </w:tr>
      <w:tr>
        <w:trPr>
          <w:trHeight w:val="212"/>
        </w:trPr>
        <w:tc>
          <w:tcPr>
            <w:tcW w:w="4260" w:type="dxa"/>
            <w:vAlign w:val="bottom"/>
            <w:vMerge w:val="continue"/>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8"/>
                <w:szCs w:val="18"/>
                <w:color w:val="auto"/>
              </w:rPr>
              <w:t>Clarendon House, 2 Church Street, Hamilton HM 11, Bermuda</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20" w:type="dxa"/>
            <w:vAlign w:val="bottom"/>
          </w:tcPr>
          <w:p>
            <w:pPr>
              <w:ind w:left="80"/>
              <w:spacing w:after="0"/>
              <w:rPr>
                <w:sz w:val="20"/>
                <w:szCs w:val="20"/>
                <w:color w:val="auto"/>
              </w:rPr>
            </w:pPr>
            <w:r>
              <w:rPr>
                <w:rFonts w:ascii="Arial" w:cs="Arial" w:eastAsia="Arial" w:hAnsi="Arial"/>
                <w:sz w:val="18"/>
                <w:szCs w:val="18"/>
                <w:color w:val="auto"/>
                <w:w w:val="92"/>
              </w:rPr>
              <w:t>A. Tasioulas, c/o GasLog LNG Services Ltd., c/o 69 Akti Miaouli, Piraeus, GR 185 37, Greece</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7020" w:type="dxa"/>
            <w:vAlign w:val="bottom"/>
          </w:tcPr>
          <w:p>
            <w:pPr>
              <w:jc w:val="center"/>
              <w:ind w:right="4210"/>
              <w:spacing w:after="0"/>
              <w:rPr>
                <w:sz w:val="20"/>
                <w:szCs w:val="20"/>
                <w:color w:val="auto"/>
              </w:rPr>
            </w:pPr>
            <w:r>
              <w:rPr>
                <w:rFonts w:ascii="Arial" w:cs="Arial" w:eastAsia="Arial" w:hAnsi="Arial"/>
                <w:sz w:val="18"/>
                <w:szCs w:val="18"/>
                <w:b w:val="1"/>
                <w:bCs w:val="1"/>
                <w:color w:val="auto"/>
                <w:w w:val="92"/>
              </w:rPr>
              <w:t>Parent</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020" w:type="dxa"/>
            <w:vAlign w:val="bottom"/>
          </w:tcPr>
          <w:p>
            <w:pPr>
              <w:ind w:left="8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20" w:type="dxa"/>
            <w:vAlign w:val="bottom"/>
          </w:tcPr>
          <w:p>
            <w:pPr>
              <w:ind w:left="8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20" w:type="dxa"/>
            <w:vAlign w:val="bottom"/>
          </w:tcPr>
          <w:p>
            <w:pPr>
              <w:ind w:left="80"/>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16"/>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  GasLog Services UK Ltd, 81 Kings Road, London SW3 4XN, United Kingdom</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020" w:type="dxa"/>
            <w:vAlign w:val="bottom"/>
          </w:tcPr>
          <w:p>
            <w:pPr>
              <w:ind w:left="80"/>
              <w:spacing w:after="0"/>
              <w:rPr>
                <w:sz w:val="20"/>
                <w:szCs w:val="20"/>
                <w:color w:val="auto"/>
              </w:rPr>
            </w:pPr>
            <w:r>
              <w:rPr>
                <w:rFonts w:ascii="Arial" w:cs="Arial" w:eastAsia="Arial" w:hAnsi="Arial"/>
                <w:sz w:val="18"/>
                <w:szCs w:val="18"/>
                <w:color w:val="auto"/>
              </w:rPr>
              <w:t>Clarendon House, 2 Church Street, Hamilton HM11, Bermuda</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20" w:type="dxa"/>
            <w:vAlign w:val="bottom"/>
          </w:tcPr>
          <w:p>
            <w:pPr>
              <w:ind w:left="80"/>
              <w:spacing w:after="0"/>
              <w:rPr>
                <w:sz w:val="20"/>
                <w:szCs w:val="20"/>
                <w:color w:val="auto"/>
              </w:rPr>
            </w:pPr>
            <w:r>
              <w:rPr>
                <w:rFonts w:ascii="Arial" w:cs="Arial" w:eastAsia="Arial" w:hAnsi="Arial"/>
                <w:sz w:val="18"/>
                <w:szCs w:val="18"/>
                <w:color w:val="auto"/>
                <w:w w:val="92"/>
              </w:rPr>
              <w:t>A. Tasioulas, c/o GasLog LNG Services Ltd., c/o 69 Akti Miaouli, Piraeus, GR 185 37, Greece</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7020" w:type="dxa"/>
            <w:vAlign w:val="bottom"/>
          </w:tcPr>
          <w:p>
            <w:pPr>
              <w:jc w:val="center"/>
              <w:ind w:right="4190"/>
              <w:spacing w:after="0"/>
              <w:rPr>
                <w:sz w:val="20"/>
                <w:szCs w:val="20"/>
                <w:color w:val="auto"/>
              </w:rPr>
            </w:pPr>
            <w:r>
              <w:rPr>
                <w:rFonts w:ascii="Arial" w:cs="Arial" w:eastAsia="Arial" w:hAnsi="Arial"/>
                <w:sz w:val="18"/>
                <w:szCs w:val="18"/>
                <w:b w:val="1"/>
                <w:bCs w:val="1"/>
                <w:color w:val="auto"/>
                <w:w w:val="92"/>
              </w:rPr>
              <w:t>GasLog Carriers</w:t>
            </w: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020" w:type="dxa"/>
            <w:vAlign w:val="bottom"/>
          </w:tcPr>
          <w:p>
            <w:pPr>
              <w:ind w:left="80"/>
              <w:spacing w:after="0"/>
              <w:rPr>
                <w:sz w:val="20"/>
                <w:szCs w:val="20"/>
                <w:color w:val="auto"/>
              </w:rPr>
            </w:pPr>
            <w:r>
              <w:rPr>
                <w:rFonts w:ascii="Arial" w:cs="Arial" w:eastAsia="Arial" w:hAnsi="Arial"/>
                <w:sz w:val="18"/>
                <w:szCs w:val="18"/>
                <w:color w:val="auto"/>
              </w:rPr>
              <w:t>GasLog Carriers Ltd.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20" w:type="dxa"/>
            <w:vAlign w:val="bottom"/>
          </w:tcPr>
          <w:p>
            <w:pPr>
              <w:ind w:left="8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20" w:type="dxa"/>
            <w:vAlign w:val="bottom"/>
          </w:tcPr>
          <w:p>
            <w:pPr>
              <w:ind w:left="80"/>
              <w:spacing w:after="0"/>
              <w:rPr>
                <w:sz w:val="20"/>
                <w:szCs w:val="20"/>
                <w:color w:val="auto"/>
              </w:rPr>
            </w:pPr>
            <w:r>
              <w:rPr>
                <w:rFonts w:ascii="Arial" w:cs="Arial" w:eastAsia="Arial" w:hAnsi="Arial"/>
                <w:sz w:val="18"/>
                <w:szCs w:val="18"/>
                <w:color w:val="auto"/>
              </w:rPr>
              <w:t>41493</w:t>
            </w:r>
          </w:p>
        </w:tc>
        <w:tc>
          <w:tcPr>
            <w:tcW w:w="0" w:type="dxa"/>
            <w:vAlign w:val="bottom"/>
          </w:tcPr>
          <w:p>
            <w:pPr>
              <w:spacing w:after="0"/>
              <w:rPr>
                <w:sz w:val="1"/>
                <w:szCs w:val="1"/>
                <w:color w:val="auto"/>
              </w:rPr>
            </w:pPr>
          </w:p>
        </w:tc>
      </w:tr>
      <w:tr>
        <w:trPr>
          <w:trHeight w:val="216"/>
        </w:trPr>
        <w:tc>
          <w:tcPr>
            <w:tcW w:w="11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  GasLog Services UK Ltd, 81 Kings Road, London SW3 4XN, United Kingdom</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020" w:type="dxa"/>
            <w:vAlign w:val="bottom"/>
          </w:tcPr>
          <w:p>
            <w:pPr>
              <w:ind w:left="80"/>
              <w:spacing w:after="0"/>
              <w:rPr>
                <w:sz w:val="20"/>
                <w:szCs w:val="20"/>
                <w:color w:val="auto"/>
              </w:rPr>
            </w:pPr>
            <w:r>
              <w:rPr>
                <w:rFonts w:ascii="Arial" w:cs="Arial" w:eastAsia="Arial" w:hAnsi="Arial"/>
                <w:sz w:val="18"/>
                <w:szCs w:val="18"/>
                <w:color w:val="auto"/>
              </w:rPr>
              <w:t>Clarendon House, 2 Church Street, Hamilton HM11, Bermuda</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20" w:type="dxa"/>
            <w:vAlign w:val="bottom"/>
          </w:tcPr>
          <w:p>
            <w:pPr>
              <w:ind w:left="80"/>
              <w:spacing w:after="0"/>
              <w:rPr>
                <w:sz w:val="20"/>
                <w:szCs w:val="20"/>
                <w:color w:val="auto"/>
              </w:rPr>
            </w:pPr>
            <w:r>
              <w:rPr>
                <w:rFonts w:ascii="Arial" w:cs="Arial" w:eastAsia="Arial" w:hAnsi="Arial"/>
                <w:sz w:val="18"/>
                <w:szCs w:val="18"/>
                <w:color w:val="auto"/>
                <w:w w:val="92"/>
              </w:rPr>
              <w:t>A. Tasioulas, c/o GasLog LNG Services Ltd., c/o 69 Akti Miaouli, Piraeus, GR 185 37, Greece</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7020" w:type="dxa"/>
            <w:vAlign w:val="bottom"/>
          </w:tcPr>
          <w:p>
            <w:pPr>
              <w:jc w:val="center"/>
              <w:ind w:right="4210"/>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7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-4718050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-4718050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95" w:name="page396"/>
    <w:bookmarkEnd w:id="395"/>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8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93"/>
              </w:rPr>
              <w:t>The Original Lenders</w:t>
            </w: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480" w:type="dxa"/>
            <w:vAlign w:val="bottom"/>
            <w:gridSpan w:val="2"/>
          </w:tcPr>
          <w:p>
            <w:pPr>
              <w:ind w:left="440"/>
              <w:spacing w:after="0"/>
              <w:rPr>
                <w:sz w:val="20"/>
                <w:szCs w:val="20"/>
                <w:color w:val="auto"/>
              </w:rPr>
            </w:pPr>
            <w:r>
              <w:rPr>
                <w:rFonts w:ascii="Arial" w:cs="Arial" w:eastAsia="Arial" w:hAnsi="Arial"/>
                <w:sz w:val="18"/>
                <w:szCs w:val="18"/>
                <w:b w:val="1"/>
                <w:bCs w:val="1"/>
                <w:color w:val="auto"/>
              </w:rPr>
              <w:t>NATIONAL BANK OF GREECE S.A.</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Facility Office and contact details for notices</w:t>
            </w:r>
          </w:p>
        </w:tc>
        <w:tc>
          <w:tcPr>
            <w:tcW w:w="1260" w:type="dxa"/>
            <w:vAlign w:val="bottom"/>
          </w:tcPr>
          <w:p>
            <w:pPr>
              <w:ind w:left="440"/>
              <w:spacing w:after="0"/>
              <w:rPr>
                <w:sz w:val="20"/>
                <w:szCs w:val="20"/>
                <w:color w:val="auto"/>
              </w:rPr>
            </w:pPr>
            <w:r>
              <w:rPr>
                <w:rFonts w:ascii="Arial" w:cs="Arial" w:eastAsia="Arial" w:hAnsi="Arial"/>
                <w:sz w:val="18"/>
                <w:szCs w:val="18"/>
                <w:color w:val="auto"/>
              </w:rPr>
              <w:t>Address:</w:t>
            </w:r>
          </w:p>
        </w:tc>
        <w:tc>
          <w:tcPr>
            <w:tcW w:w="6220" w:type="dxa"/>
            <w:vAlign w:val="bottom"/>
          </w:tcPr>
          <w:p>
            <w:pPr>
              <w:ind w:left="100"/>
              <w:spacing w:after="0"/>
              <w:rPr>
                <w:sz w:val="20"/>
                <w:szCs w:val="20"/>
                <w:color w:val="auto"/>
              </w:rPr>
            </w:pPr>
            <w:r>
              <w:rPr>
                <w:rFonts w:ascii="Arial" w:cs="Arial" w:eastAsia="Arial" w:hAnsi="Arial"/>
                <w:sz w:val="18"/>
                <w:szCs w:val="18"/>
                <w:color w:val="auto"/>
              </w:rPr>
              <w:t>2 Bouboulinas Street &amp; Akti Miaouli, Vati Building, Piraeus 185 35</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Attn:</w:t>
            </w:r>
          </w:p>
        </w:tc>
        <w:tc>
          <w:tcPr>
            <w:tcW w:w="6220" w:type="dxa"/>
            <w:vAlign w:val="bottom"/>
          </w:tcPr>
          <w:p>
            <w:pPr>
              <w:ind w:left="100"/>
              <w:spacing w:after="0"/>
              <w:rPr>
                <w:sz w:val="20"/>
                <w:szCs w:val="20"/>
                <w:color w:val="auto"/>
              </w:rPr>
            </w:pPr>
            <w:r>
              <w:rPr>
                <w:rFonts w:ascii="Arial" w:cs="Arial" w:eastAsia="Arial" w:hAnsi="Arial"/>
                <w:sz w:val="18"/>
                <w:szCs w:val="18"/>
                <w:color w:val="auto"/>
              </w:rPr>
              <w:t>Mrs Amalia Kafka and/or Mr. Andreas Mitsiopoulos</w:t>
            </w: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Email:</w:t>
            </w:r>
          </w:p>
        </w:tc>
        <w:tc>
          <w:tcPr>
            <w:tcW w:w="6220" w:type="dxa"/>
            <w:vAlign w:val="bottom"/>
          </w:tcPr>
          <w:p>
            <w:pPr>
              <w:ind w:left="100"/>
              <w:spacing w:after="0"/>
              <w:rPr>
                <w:sz w:val="20"/>
                <w:szCs w:val="20"/>
                <w:color w:val="auto"/>
              </w:rPr>
            </w:pPr>
            <w:r>
              <w:rPr>
                <w:rFonts w:ascii="Arial" w:cs="Arial" w:eastAsia="Arial" w:hAnsi="Arial"/>
                <w:sz w:val="18"/>
                <w:szCs w:val="18"/>
                <w:color w:val="auto"/>
              </w:rPr>
              <w:t>Kafka.Amalia@nbg.gr</w:t>
            </w:r>
          </w:p>
        </w:tc>
        <w:tc>
          <w:tcPr>
            <w:tcW w:w="0" w:type="dxa"/>
            <w:vAlign w:val="bottom"/>
          </w:tcPr>
          <w:p>
            <w:pPr>
              <w:spacing w:after="0"/>
              <w:rPr>
                <w:sz w:val="1"/>
                <w:szCs w:val="1"/>
                <w:color w:val="auto"/>
              </w:rPr>
            </w:pPr>
          </w:p>
        </w:tc>
      </w:tr>
      <w:tr>
        <w:trPr>
          <w:trHeight w:val="23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Commitment ($)</w:t>
            </w:r>
          </w:p>
        </w:tc>
        <w:tc>
          <w:tcPr>
            <w:tcW w:w="1260" w:type="dxa"/>
            <w:vAlign w:val="bottom"/>
            <w:vMerge w:val="restart"/>
          </w:tcPr>
          <w:p>
            <w:pPr>
              <w:ind w:left="440"/>
              <w:spacing w:after="0"/>
              <w:rPr>
                <w:sz w:val="20"/>
                <w:szCs w:val="20"/>
                <w:color w:val="auto"/>
              </w:rPr>
            </w:pPr>
            <w:r>
              <w:rPr>
                <w:rFonts w:ascii="Arial" w:cs="Arial" w:eastAsia="Arial" w:hAnsi="Arial"/>
                <w:sz w:val="18"/>
                <w:szCs w:val="18"/>
                <w:color w:val="auto"/>
                <w:w w:val="88"/>
              </w:rPr>
              <w:t>97,500,000</w:t>
            </w:r>
          </w:p>
        </w:tc>
        <w:tc>
          <w:tcPr>
            <w:tcW w:w="6220" w:type="dxa"/>
            <w:vAlign w:val="bottom"/>
          </w:tcPr>
          <w:p>
            <w:pPr>
              <w:ind w:left="100"/>
              <w:spacing w:after="0"/>
              <w:rPr>
                <w:sz w:val="20"/>
                <w:szCs w:val="20"/>
                <w:color w:val="auto"/>
              </w:rPr>
            </w:pPr>
            <w:r>
              <w:rPr>
                <w:rFonts w:ascii="Arial" w:cs="Arial" w:eastAsia="Arial" w:hAnsi="Arial"/>
                <w:sz w:val="18"/>
                <w:szCs w:val="18"/>
                <w:color w:val="auto"/>
              </w:rPr>
              <w:t>Mitsiopoulos.Andreas@nbg.gr</w:t>
            </w:r>
          </w:p>
        </w:tc>
        <w:tc>
          <w:tcPr>
            <w:tcW w:w="0" w:type="dxa"/>
            <w:vAlign w:val="bottom"/>
          </w:tcPr>
          <w:p>
            <w:pPr>
              <w:spacing w:after="0"/>
              <w:rPr>
                <w:sz w:val="1"/>
                <w:szCs w:val="1"/>
                <w:color w:val="auto"/>
              </w:rPr>
            </w:pPr>
          </w:p>
        </w:tc>
      </w:tr>
      <w:tr>
        <w:trPr>
          <w:trHeight w:val="198"/>
        </w:trPr>
        <w:tc>
          <w:tcPr>
            <w:tcW w:w="3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Commitments ($)</w:t>
            </w:r>
          </w:p>
        </w:tc>
        <w:tc>
          <w:tcPr>
            <w:tcW w:w="1260" w:type="dxa"/>
            <w:vAlign w:val="bottom"/>
          </w:tcPr>
          <w:p>
            <w:pPr>
              <w:ind w:left="440"/>
              <w:spacing w:after="0"/>
              <w:rPr>
                <w:sz w:val="20"/>
                <w:szCs w:val="20"/>
                <w:color w:val="auto"/>
              </w:rPr>
            </w:pPr>
            <w:r>
              <w:rPr>
                <w:rFonts w:ascii="Arial" w:cs="Arial" w:eastAsia="Arial" w:hAnsi="Arial"/>
                <w:sz w:val="18"/>
                <w:szCs w:val="18"/>
                <w:color w:val="auto"/>
                <w:w w:val="88"/>
              </w:rPr>
              <w:t>97,500,000</w:t>
            </w: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The Agent</w:t>
            </w: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480" w:type="dxa"/>
            <w:vAlign w:val="bottom"/>
            <w:gridSpan w:val="2"/>
          </w:tcPr>
          <w:p>
            <w:pPr>
              <w:ind w:left="440"/>
              <w:spacing w:after="0"/>
              <w:rPr>
                <w:sz w:val="20"/>
                <w:szCs w:val="20"/>
                <w:color w:val="auto"/>
              </w:rPr>
            </w:pPr>
            <w:r>
              <w:rPr>
                <w:rFonts w:ascii="Arial" w:cs="Arial" w:eastAsia="Arial" w:hAnsi="Arial"/>
                <w:sz w:val="18"/>
                <w:szCs w:val="18"/>
                <w:b w:val="1"/>
                <w:bCs w:val="1"/>
                <w:color w:val="auto"/>
              </w:rPr>
              <w:t>NATIONAL BANK OF GREECE S.A.</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Facility Office and contact details for notices</w:t>
            </w:r>
          </w:p>
        </w:tc>
        <w:tc>
          <w:tcPr>
            <w:tcW w:w="1260" w:type="dxa"/>
            <w:vAlign w:val="bottom"/>
          </w:tcPr>
          <w:p>
            <w:pPr>
              <w:ind w:left="440"/>
              <w:spacing w:after="0"/>
              <w:rPr>
                <w:sz w:val="20"/>
                <w:szCs w:val="20"/>
                <w:color w:val="auto"/>
              </w:rPr>
            </w:pPr>
            <w:r>
              <w:rPr>
                <w:rFonts w:ascii="Arial" w:cs="Arial" w:eastAsia="Arial" w:hAnsi="Arial"/>
                <w:sz w:val="18"/>
                <w:szCs w:val="18"/>
                <w:color w:val="auto"/>
              </w:rPr>
              <w:t>Address:</w:t>
            </w:r>
          </w:p>
        </w:tc>
        <w:tc>
          <w:tcPr>
            <w:tcW w:w="6220" w:type="dxa"/>
            <w:vAlign w:val="bottom"/>
          </w:tcPr>
          <w:p>
            <w:pPr>
              <w:ind w:left="100"/>
              <w:spacing w:after="0"/>
              <w:rPr>
                <w:sz w:val="20"/>
                <w:szCs w:val="20"/>
                <w:color w:val="auto"/>
              </w:rPr>
            </w:pPr>
            <w:r>
              <w:rPr>
                <w:rFonts w:ascii="Arial" w:cs="Arial" w:eastAsia="Arial" w:hAnsi="Arial"/>
                <w:sz w:val="18"/>
                <w:szCs w:val="18"/>
                <w:color w:val="auto"/>
              </w:rPr>
              <w:t>2 Bouboulinas Street &amp; Akti Miaouli, Vati Building, Piraeus 185 35</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Attn:</w:t>
            </w:r>
          </w:p>
        </w:tc>
        <w:tc>
          <w:tcPr>
            <w:tcW w:w="6220" w:type="dxa"/>
            <w:vAlign w:val="bottom"/>
          </w:tcPr>
          <w:p>
            <w:pPr>
              <w:ind w:left="160"/>
              <w:spacing w:after="0"/>
              <w:rPr>
                <w:sz w:val="20"/>
                <w:szCs w:val="20"/>
                <w:color w:val="auto"/>
              </w:rPr>
            </w:pPr>
            <w:r>
              <w:rPr>
                <w:rFonts w:ascii="Arial" w:cs="Arial" w:eastAsia="Arial" w:hAnsi="Arial"/>
                <w:sz w:val="18"/>
                <w:szCs w:val="18"/>
                <w:color w:val="auto"/>
              </w:rPr>
              <w:t>Mrs Amalia Kafka and/or Mr. Andreas Mitsiopoulos</w:t>
            </w: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Email:</w:t>
            </w:r>
          </w:p>
        </w:tc>
        <w:tc>
          <w:tcPr>
            <w:tcW w:w="6220" w:type="dxa"/>
            <w:vAlign w:val="bottom"/>
          </w:tcPr>
          <w:p>
            <w:pPr>
              <w:ind w:left="100"/>
              <w:spacing w:after="0"/>
              <w:rPr>
                <w:sz w:val="20"/>
                <w:szCs w:val="20"/>
                <w:color w:val="auto"/>
              </w:rPr>
            </w:pPr>
            <w:r>
              <w:rPr>
                <w:rFonts w:ascii="Arial" w:cs="Arial" w:eastAsia="Arial" w:hAnsi="Arial"/>
                <w:sz w:val="18"/>
                <w:szCs w:val="18"/>
                <w:color w:val="auto"/>
              </w:rPr>
              <w:t>Kafka.Amalia@nbg.gr</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Mitsiopoulos.Andreas@nbg.gr</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748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90"/>
              </w:rPr>
              <w:t>The Security Agent</w:t>
            </w: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480" w:type="dxa"/>
            <w:vAlign w:val="bottom"/>
            <w:gridSpan w:val="2"/>
          </w:tcPr>
          <w:p>
            <w:pPr>
              <w:ind w:left="440"/>
              <w:spacing w:after="0"/>
              <w:rPr>
                <w:sz w:val="20"/>
                <w:szCs w:val="20"/>
                <w:color w:val="auto"/>
              </w:rPr>
            </w:pPr>
            <w:r>
              <w:rPr>
                <w:rFonts w:ascii="Arial" w:cs="Arial" w:eastAsia="Arial" w:hAnsi="Arial"/>
                <w:sz w:val="18"/>
                <w:szCs w:val="18"/>
                <w:b w:val="1"/>
                <w:bCs w:val="1"/>
                <w:color w:val="auto"/>
              </w:rPr>
              <w:t>NATIONAL BANK OF GREECE S.A.</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Facility Office and contact details for notices</w:t>
            </w:r>
          </w:p>
        </w:tc>
        <w:tc>
          <w:tcPr>
            <w:tcW w:w="1260" w:type="dxa"/>
            <w:vAlign w:val="bottom"/>
          </w:tcPr>
          <w:p>
            <w:pPr>
              <w:ind w:left="440"/>
              <w:spacing w:after="0"/>
              <w:rPr>
                <w:sz w:val="20"/>
                <w:szCs w:val="20"/>
                <w:color w:val="auto"/>
              </w:rPr>
            </w:pPr>
            <w:r>
              <w:rPr>
                <w:rFonts w:ascii="Arial" w:cs="Arial" w:eastAsia="Arial" w:hAnsi="Arial"/>
                <w:sz w:val="18"/>
                <w:szCs w:val="18"/>
                <w:color w:val="auto"/>
              </w:rPr>
              <w:t>Address:</w:t>
            </w:r>
          </w:p>
        </w:tc>
        <w:tc>
          <w:tcPr>
            <w:tcW w:w="6220" w:type="dxa"/>
            <w:vAlign w:val="bottom"/>
          </w:tcPr>
          <w:p>
            <w:pPr>
              <w:ind w:left="100"/>
              <w:spacing w:after="0"/>
              <w:rPr>
                <w:sz w:val="20"/>
                <w:szCs w:val="20"/>
                <w:color w:val="auto"/>
              </w:rPr>
            </w:pPr>
            <w:r>
              <w:rPr>
                <w:rFonts w:ascii="Arial" w:cs="Arial" w:eastAsia="Arial" w:hAnsi="Arial"/>
                <w:sz w:val="18"/>
                <w:szCs w:val="18"/>
                <w:color w:val="auto"/>
              </w:rPr>
              <w:t>2 Bouboulinas Street &amp; Akti Miaouli, Vati Building, Piraeus 185 35</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Attn:</w:t>
            </w:r>
          </w:p>
        </w:tc>
        <w:tc>
          <w:tcPr>
            <w:tcW w:w="6220" w:type="dxa"/>
            <w:vAlign w:val="bottom"/>
          </w:tcPr>
          <w:p>
            <w:pPr>
              <w:ind w:left="100"/>
              <w:spacing w:after="0"/>
              <w:rPr>
                <w:sz w:val="20"/>
                <w:szCs w:val="20"/>
                <w:color w:val="auto"/>
              </w:rPr>
            </w:pPr>
            <w:r>
              <w:rPr>
                <w:rFonts w:ascii="Arial" w:cs="Arial" w:eastAsia="Arial" w:hAnsi="Arial"/>
                <w:sz w:val="18"/>
                <w:szCs w:val="18"/>
                <w:color w:val="auto"/>
              </w:rPr>
              <w:t>Mrs Antoniou Theano-Anna and/or Mrs. Evgenia Kanellopoulou</w:t>
            </w: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Arial" w:cs="Arial" w:eastAsia="Arial" w:hAnsi="Arial"/>
                <w:sz w:val="18"/>
                <w:szCs w:val="18"/>
                <w:color w:val="auto"/>
              </w:rPr>
              <w:t>Email:</w:t>
            </w:r>
          </w:p>
        </w:tc>
        <w:tc>
          <w:tcPr>
            <w:tcW w:w="6220" w:type="dxa"/>
            <w:vAlign w:val="bottom"/>
          </w:tcPr>
          <w:p>
            <w:pPr>
              <w:ind w:left="100"/>
              <w:spacing w:after="0"/>
              <w:rPr>
                <w:sz w:val="20"/>
                <w:szCs w:val="20"/>
                <w:color w:val="auto"/>
              </w:rPr>
            </w:pPr>
            <w:r>
              <w:rPr>
                <w:rFonts w:ascii="Arial" w:cs="Arial" w:eastAsia="Arial" w:hAnsi="Arial"/>
                <w:sz w:val="18"/>
                <w:szCs w:val="18"/>
                <w:color w:val="auto"/>
              </w:rPr>
              <w:t>Antoniou.Thean@nbg.gr</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20" w:type="dxa"/>
            <w:vAlign w:val="bottom"/>
          </w:tcPr>
          <w:p>
            <w:pPr>
              <w:ind w:left="100"/>
              <w:spacing w:after="0"/>
              <w:rPr>
                <w:sz w:val="20"/>
                <w:szCs w:val="20"/>
                <w:color w:val="auto"/>
              </w:rPr>
            </w:pPr>
            <w:r>
              <w:rPr>
                <w:rFonts w:ascii="Arial" w:cs="Arial" w:eastAsia="Arial" w:hAnsi="Arial"/>
                <w:sz w:val="18"/>
                <w:szCs w:val="18"/>
                <w:color w:val="auto"/>
              </w:rPr>
              <w:t>Kanellopoulou.Evgenia@nbg.gr</w:t>
            </w: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20" w:type="dxa"/>
            <w:vAlign w:val="bottom"/>
          </w:tcPr>
          <w:p>
            <w:pPr>
              <w:jc w:val="center"/>
              <w:ind w:right="5010"/>
              <w:spacing w:after="0"/>
              <w:rPr>
                <w:sz w:val="20"/>
                <w:szCs w:val="20"/>
                <w:color w:val="auto"/>
              </w:rPr>
            </w:pPr>
            <w:r>
              <w:rPr>
                <w:rFonts w:ascii="Arial" w:cs="Arial" w:eastAsia="Arial" w:hAnsi="Arial"/>
                <w:sz w:val="18"/>
                <w:szCs w:val="18"/>
                <w:b w:val="1"/>
                <w:bCs w:val="1"/>
                <w:color w:val="auto"/>
                <w:w w:val="95"/>
              </w:rPr>
              <w:t>The Arranger</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748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94"/>
              </w:rPr>
              <w:t>Mandated Lead Arranger</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480" w:type="dxa"/>
            <w:vAlign w:val="bottom"/>
            <w:gridSpan w:val="2"/>
          </w:tcPr>
          <w:p>
            <w:pPr>
              <w:ind w:left="420"/>
              <w:spacing w:after="0"/>
              <w:rPr>
                <w:sz w:val="20"/>
                <w:szCs w:val="20"/>
                <w:color w:val="auto"/>
              </w:rPr>
            </w:pPr>
            <w:r>
              <w:rPr>
                <w:rFonts w:ascii="Arial" w:cs="Arial" w:eastAsia="Arial" w:hAnsi="Arial"/>
                <w:sz w:val="18"/>
                <w:szCs w:val="18"/>
                <w:b w:val="1"/>
                <w:bCs w:val="1"/>
                <w:color w:val="auto"/>
              </w:rPr>
              <w:t>NATIONAL BANK OF GREECE S.A.</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7480" w:type="dxa"/>
            <w:vAlign w:val="bottom"/>
            <w:gridSpan w:val="2"/>
          </w:tcPr>
          <w:p>
            <w:pPr>
              <w:jc w:val="center"/>
              <w:ind w:right="3730"/>
              <w:spacing w:after="0"/>
              <w:rPr>
                <w:sz w:val="20"/>
                <w:szCs w:val="20"/>
                <w:color w:val="auto"/>
              </w:rPr>
            </w:pPr>
            <w:r>
              <w:rPr>
                <w:rFonts w:ascii="Arial" w:cs="Arial" w:eastAsia="Arial" w:hAnsi="Arial"/>
                <w:sz w:val="18"/>
                <w:szCs w:val="18"/>
                <w:b w:val="1"/>
                <w:bCs w:val="1"/>
                <w:color w:val="auto"/>
                <w:w w:val="90"/>
              </w:rPr>
              <w:t>The Hedging Providers</w:t>
            </w: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480" w:type="dxa"/>
            <w:vAlign w:val="bottom"/>
            <w:gridSpan w:val="2"/>
          </w:tcPr>
          <w:p>
            <w:pPr>
              <w:ind w:left="360"/>
              <w:spacing w:after="0"/>
              <w:rPr>
                <w:sz w:val="20"/>
                <w:szCs w:val="20"/>
                <w:color w:val="auto"/>
              </w:rPr>
            </w:pPr>
            <w:r>
              <w:rPr>
                <w:rFonts w:ascii="Arial" w:cs="Arial" w:eastAsia="Arial" w:hAnsi="Arial"/>
                <w:sz w:val="18"/>
                <w:szCs w:val="18"/>
                <w:b w:val="1"/>
                <w:bCs w:val="1"/>
                <w:color w:val="auto"/>
              </w:rPr>
              <w:t>NATIONAL BANK OF GREECE S.A.</w:t>
            </w:r>
          </w:p>
        </w:tc>
        <w:tc>
          <w:tcPr>
            <w:tcW w:w="0" w:type="dxa"/>
            <w:vAlign w:val="bottom"/>
          </w:tcPr>
          <w:p>
            <w:pPr>
              <w:spacing w:after="0"/>
              <w:rPr>
                <w:sz w:val="1"/>
                <w:szCs w:val="1"/>
                <w:color w:val="auto"/>
              </w:rPr>
            </w:pPr>
          </w:p>
        </w:tc>
      </w:t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Facility Office and contact details for notices</w:t>
            </w:r>
          </w:p>
        </w:tc>
        <w:tc>
          <w:tcPr>
            <w:tcW w:w="1260" w:type="dxa"/>
            <w:vAlign w:val="bottom"/>
          </w:tcPr>
          <w:p>
            <w:pPr>
              <w:ind w:left="360"/>
              <w:spacing w:after="0"/>
              <w:rPr>
                <w:sz w:val="20"/>
                <w:szCs w:val="20"/>
                <w:color w:val="auto"/>
              </w:rPr>
            </w:pPr>
            <w:r>
              <w:rPr>
                <w:rFonts w:ascii="Arial" w:cs="Arial" w:eastAsia="Arial" w:hAnsi="Arial"/>
                <w:sz w:val="18"/>
                <w:szCs w:val="18"/>
                <w:color w:val="auto"/>
              </w:rPr>
              <w:t>Address:</w:t>
            </w:r>
          </w:p>
        </w:tc>
        <w:tc>
          <w:tcPr>
            <w:tcW w:w="6220" w:type="dxa"/>
            <w:vAlign w:val="bottom"/>
          </w:tcPr>
          <w:p>
            <w:pPr>
              <w:ind w:left="160"/>
              <w:spacing w:after="0"/>
              <w:rPr>
                <w:sz w:val="20"/>
                <w:szCs w:val="20"/>
                <w:color w:val="auto"/>
              </w:rPr>
            </w:pPr>
            <w:r>
              <w:rPr>
                <w:rFonts w:ascii="Arial" w:cs="Arial" w:eastAsia="Arial" w:hAnsi="Arial"/>
                <w:sz w:val="18"/>
                <w:szCs w:val="18"/>
                <w:color w:val="auto"/>
              </w:rPr>
              <w:t>Treasury and Investment Operations Division,</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Akadimias 68, 106 78 Athens, Greece</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rPr>
              <w:t>Attn:</w:t>
            </w:r>
          </w:p>
        </w:tc>
        <w:tc>
          <w:tcPr>
            <w:tcW w:w="6220" w:type="dxa"/>
            <w:vAlign w:val="bottom"/>
          </w:tcPr>
          <w:p>
            <w:pPr>
              <w:ind w:left="160"/>
              <w:spacing w:after="0"/>
              <w:rPr>
                <w:sz w:val="20"/>
                <w:szCs w:val="20"/>
                <w:color w:val="auto"/>
              </w:rPr>
            </w:pPr>
            <w:r>
              <w:rPr>
                <w:rFonts w:ascii="Arial" w:cs="Arial" w:eastAsia="Arial" w:hAnsi="Arial"/>
                <w:sz w:val="18"/>
                <w:szCs w:val="18"/>
                <w:color w:val="auto"/>
              </w:rPr>
              <w:t>Mrs. Katerina Strati, Mrs. Maria Voyatzi</w:t>
            </w: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rPr>
              <w:t>Email:</w:t>
            </w:r>
          </w:p>
        </w:tc>
        <w:tc>
          <w:tcPr>
            <w:tcW w:w="6220" w:type="dxa"/>
            <w:vAlign w:val="bottom"/>
          </w:tcPr>
          <w:p>
            <w:pPr>
              <w:ind w:left="160"/>
              <w:spacing w:after="0"/>
              <w:rPr>
                <w:sz w:val="20"/>
                <w:szCs w:val="20"/>
                <w:color w:val="auto"/>
              </w:rPr>
            </w:pPr>
            <w:r>
              <w:rPr>
                <w:rFonts w:ascii="Arial" w:cs="Arial" w:eastAsia="Arial" w:hAnsi="Arial"/>
                <w:sz w:val="18"/>
                <w:szCs w:val="18"/>
                <w:color w:val="auto"/>
              </w:rPr>
              <w:t>astrat@nbg.gr</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vogagi.maria@nbg.gr</w:t>
            </w:r>
          </w:p>
        </w:tc>
        <w:tc>
          <w:tcPr>
            <w:tcW w:w="0" w:type="dxa"/>
            <w:vAlign w:val="bottom"/>
          </w:tcPr>
          <w:p>
            <w:pPr>
              <w:spacing w:after="0"/>
              <w:rPr>
                <w:sz w:val="1"/>
                <w:szCs w:val="1"/>
                <w:color w:val="auto"/>
              </w:rPr>
            </w:pPr>
          </w:p>
        </w:tc>
      </w:tr>
      <w:tr>
        <w:trPr>
          <w:trHeight w:val="432"/>
        </w:trPr>
        <w:tc>
          <w:tcPr>
            <w:tcW w:w="3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20" w:type="dxa"/>
            <w:vAlign w:val="bottom"/>
          </w:tcPr>
          <w:p>
            <w:pPr>
              <w:jc w:val="center"/>
              <w:ind w:right="5010"/>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6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Ship information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Ship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96" w:name="page397"/>
    <w:bookmarkEnd w:id="396"/>
    <w:p>
      <w:pPr>
        <w:jc w:val="center"/>
        <w:ind w:right="-11"/>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Part°1</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Utilisation Request</w:t>
      </w:r>
    </w:p>
    <w:p>
      <w:pPr>
        <w:spacing w:after="0" w:line="207" w:lineRule="exact"/>
        <w:rPr>
          <w:sz w:val="20"/>
          <w:szCs w:val="20"/>
          <w:color w:val="auto"/>
        </w:rPr>
      </w:pPr>
    </w:p>
    <w:p>
      <w:pPr>
        <w:ind w:left="532" w:hanging="532"/>
        <w:spacing w:after="0"/>
        <w:tabs>
          <w:tab w:leader="none" w:pos="532"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29" w:lineRule="exact"/>
        <w:rPr>
          <w:rFonts w:ascii="Arial" w:cs="Arial" w:eastAsia="Arial" w:hAnsi="Arial"/>
          <w:sz w:val="18"/>
          <w:szCs w:val="18"/>
          <w:b w:val="1"/>
          <w:bCs w:val="1"/>
          <w:color w:val="auto"/>
        </w:rPr>
      </w:pPr>
    </w:p>
    <w:p>
      <w:pPr>
        <w:ind w:left="1012" w:hanging="506"/>
        <w:spacing w:after="0"/>
        <w:tabs>
          <w:tab w:leader="none" w:pos="1012"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w:t>
      </w:r>
    </w:p>
    <w:p>
      <w:pPr>
        <w:spacing w:after="0" w:line="225" w:lineRule="exact"/>
        <w:rPr>
          <w:rFonts w:ascii="Arial" w:cs="Arial" w:eastAsia="Arial" w:hAnsi="Arial"/>
          <w:sz w:val="18"/>
          <w:szCs w:val="18"/>
          <w:color w:val="auto"/>
        </w:rPr>
      </w:pPr>
    </w:p>
    <w:p>
      <w:pPr>
        <w:ind w:left="1012" w:right="860" w:hanging="506"/>
        <w:spacing w:after="0" w:line="277" w:lineRule="auto"/>
        <w:tabs>
          <w:tab w:leader="none" w:pos="1013"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(or, if applicable, any committee of such board empowered to approve and authorise the following matters):</w:t>
      </w:r>
    </w:p>
    <w:p>
      <w:pPr>
        <w:spacing w:after="0" w:line="166" w:lineRule="exact"/>
        <w:rPr>
          <w:rFonts w:ascii="Arial" w:cs="Arial" w:eastAsia="Arial" w:hAnsi="Arial"/>
          <w:sz w:val="18"/>
          <w:szCs w:val="18"/>
          <w:color w:val="auto"/>
        </w:rPr>
      </w:pPr>
    </w:p>
    <w:p>
      <w:pPr>
        <w:ind w:left="1532" w:hanging="508"/>
        <w:spacing w:after="0" w:line="282" w:lineRule="auto"/>
        <w:tabs>
          <w:tab w:leader="none" w:pos="1547" w:val="left"/>
        </w:tabs>
        <w:numPr>
          <w:ilvl w:val="2"/>
          <w:numId w:val="575"/>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 the Relevant Documents to which it is a party;</w:t>
      </w:r>
    </w:p>
    <w:p>
      <w:pPr>
        <w:spacing w:after="0" w:line="165" w:lineRule="exact"/>
        <w:rPr>
          <w:rFonts w:ascii="Arial" w:cs="Arial" w:eastAsia="Arial" w:hAnsi="Arial"/>
          <w:sz w:val="18"/>
          <w:szCs w:val="18"/>
          <w:color w:val="auto"/>
        </w:rPr>
      </w:pPr>
    </w:p>
    <w:p>
      <w:pPr>
        <w:ind w:left="1552" w:hanging="528"/>
        <w:spacing w:after="0"/>
        <w:tabs>
          <w:tab w:leader="none" w:pos="1552" w:val="left"/>
        </w:tabs>
        <w:numPr>
          <w:ilvl w:val="2"/>
          <w:numId w:val="575"/>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25" w:lineRule="exact"/>
        <w:rPr>
          <w:rFonts w:ascii="Arial" w:cs="Arial" w:eastAsia="Arial" w:hAnsi="Arial"/>
          <w:sz w:val="18"/>
          <w:szCs w:val="18"/>
          <w:color w:val="auto"/>
        </w:rPr>
      </w:pPr>
    </w:p>
    <w:p>
      <w:pPr>
        <w:ind w:left="1532" w:right="100" w:hanging="508"/>
        <w:spacing w:after="0" w:line="342" w:lineRule="auto"/>
        <w:tabs>
          <w:tab w:leader="none" w:pos="1566" w:val="left"/>
        </w:tabs>
        <w:numPr>
          <w:ilvl w:val="2"/>
          <w:numId w:val="575"/>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123" w:lineRule="exact"/>
        <w:rPr>
          <w:rFonts w:ascii="Arial" w:cs="Arial" w:eastAsia="Arial" w:hAnsi="Arial"/>
          <w:sz w:val="16"/>
          <w:szCs w:val="16"/>
          <w:color w:val="auto"/>
        </w:rPr>
      </w:pPr>
    </w:p>
    <w:p>
      <w:pPr>
        <w:ind w:left="1012" w:right="720" w:hanging="506"/>
        <w:spacing w:after="0" w:line="277" w:lineRule="auto"/>
        <w:tabs>
          <w:tab w:leader="none" w:pos="1016" w:val="left"/>
        </w:tabs>
        <w:numPr>
          <w:ilvl w:val="1"/>
          <w:numId w:val="575"/>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70" w:lineRule="exact"/>
        <w:rPr>
          <w:rFonts w:ascii="Arial" w:cs="Arial" w:eastAsia="Arial" w:hAnsi="Arial"/>
          <w:sz w:val="18"/>
          <w:szCs w:val="18"/>
          <w:color w:val="auto"/>
        </w:rPr>
      </w:pPr>
    </w:p>
    <w:p>
      <w:pPr>
        <w:ind w:left="1012" w:right="240" w:hanging="506"/>
        <w:spacing w:after="0" w:line="263" w:lineRule="auto"/>
        <w:tabs>
          <w:tab w:leader="none" w:pos="1013" w:val="left"/>
        </w:tabs>
        <w:numPr>
          <w:ilvl w:val="1"/>
          <w:numId w:val="575"/>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Bermudian law, a copy of a resolution signed by all the holders of the issued shares in each Obligor and each Manager, approving the terms of, and the transactions contemplated by, the Relevant Documents to which such Obligor or a Manager is a party.</w:t>
      </w:r>
    </w:p>
    <w:p>
      <w:pPr>
        <w:spacing w:after="0" w:line="183" w:lineRule="exact"/>
        <w:rPr>
          <w:rFonts w:ascii="Arial" w:cs="Arial" w:eastAsia="Arial" w:hAnsi="Arial"/>
          <w:sz w:val="18"/>
          <w:szCs w:val="18"/>
          <w:color w:val="auto"/>
        </w:rPr>
      </w:pPr>
    </w:p>
    <w:p>
      <w:pPr>
        <w:ind w:left="1012" w:right="320" w:hanging="506"/>
        <w:spacing w:after="0" w:line="263" w:lineRule="auto"/>
        <w:tabs>
          <w:tab w:leader="none" w:pos="1016" w:val="left"/>
        </w:tabs>
        <w:numPr>
          <w:ilvl w:val="1"/>
          <w:numId w:val="575"/>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a Manager or under Bermudian law, a copy of a resolution of the board of directors of each corporate shareholder of each Obligor and each Manager approving the terms of the resolution referred to in paragraph (d) above.</w:t>
      </w:r>
    </w:p>
    <w:p>
      <w:pPr>
        <w:spacing w:after="0" w:line="183" w:lineRule="exact"/>
        <w:rPr>
          <w:rFonts w:ascii="Arial" w:cs="Arial" w:eastAsia="Arial" w:hAnsi="Arial"/>
          <w:sz w:val="18"/>
          <w:szCs w:val="18"/>
          <w:color w:val="auto"/>
        </w:rPr>
      </w:pPr>
    </w:p>
    <w:p>
      <w:pPr>
        <w:ind w:left="1012" w:right="40" w:hanging="506"/>
        <w:spacing w:after="0" w:line="308" w:lineRule="auto"/>
        <w:tabs>
          <w:tab w:leader="none" w:pos="1010" w:val="left"/>
        </w:tabs>
        <w:numPr>
          <w:ilvl w:val="1"/>
          <w:numId w:val="575"/>
        </w:numPr>
        <w:rPr>
          <w:rFonts w:ascii="Arial" w:cs="Arial" w:eastAsia="Arial" w:hAnsi="Arial"/>
          <w:sz w:val="17"/>
          <w:szCs w:val="17"/>
          <w:color w:val="auto"/>
        </w:rPr>
      </w:pPr>
      <w:r>
        <w:rPr>
          <w:rFonts w:ascii="Arial" w:cs="Arial" w:eastAsia="Arial" w:hAnsi="Arial"/>
          <w:sz w:val="17"/>
          <w:szCs w:val="17"/>
          <w:color w:val="auto"/>
        </w:rPr>
        <w:t>If a requirement under the Constitutional Documents of each Obligor or a Manager or under Bermudian law, a copy of any power of attorney under which any person is to execute any of the Relevant Documents on behalf of any Obligor and each Manager.</w:t>
      </w:r>
    </w:p>
    <w:p>
      <w:pPr>
        <w:spacing w:after="0" w:line="146" w:lineRule="exact"/>
        <w:rPr>
          <w:rFonts w:ascii="Arial" w:cs="Arial" w:eastAsia="Arial" w:hAnsi="Arial"/>
          <w:sz w:val="17"/>
          <w:szCs w:val="17"/>
          <w:color w:val="auto"/>
        </w:rPr>
      </w:pPr>
    </w:p>
    <w:p>
      <w:pPr>
        <w:ind w:left="1012" w:right="120" w:hanging="506"/>
        <w:spacing w:after="0" w:line="286" w:lineRule="auto"/>
        <w:tabs>
          <w:tab w:leader="none" w:pos="1027" w:val="left"/>
        </w:tabs>
        <w:numPr>
          <w:ilvl w:val="1"/>
          <w:numId w:val="575"/>
        </w:numPr>
        <w:rPr>
          <w:rFonts w:ascii="Arial" w:cs="Arial" w:eastAsia="Arial" w:hAnsi="Arial"/>
          <w:sz w:val="17"/>
          <w:szCs w:val="17"/>
          <w:color w:val="auto"/>
        </w:rPr>
      </w:pPr>
      <w:r>
        <w:rPr>
          <w:rFonts w:ascii="Arial" w:cs="Arial" w:eastAsia="Arial" w:hAnsi="Arial"/>
          <w:sz w:val="17"/>
          <w:szCs w:val="17"/>
          <w:color w:val="auto"/>
        </w:rPr>
        <w:t>A certificate of an authorised signatory of the relevant Obligor and each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61" w:lineRule="exact"/>
        <w:rPr>
          <w:sz w:val="20"/>
          <w:szCs w:val="20"/>
          <w:color w:val="auto"/>
        </w:rPr>
      </w:pPr>
    </w:p>
    <w:p>
      <w:pPr>
        <w:ind w:left="532" w:hanging="532"/>
        <w:spacing w:after="0"/>
        <w:tabs>
          <w:tab w:leader="none" w:pos="532" w:val="left"/>
        </w:tabs>
        <w:numPr>
          <w:ilvl w:val="0"/>
          <w:numId w:val="576"/>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9" w:lineRule="exact"/>
        <w:rPr>
          <w:sz w:val="20"/>
          <w:szCs w:val="20"/>
          <w:color w:val="auto"/>
        </w:rPr>
      </w:pPr>
    </w:p>
    <w:p>
      <w:pPr>
        <w:ind w:left="512" w:right="580"/>
        <w:spacing w:after="0" w:line="263" w:lineRule="auto"/>
        <w:rPr>
          <w:sz w:val="20"/>
          <w:szCs w:val="20"/>
          <w:color w:val="auto"/>
        </w:rPr>
      </w:pPr>
      <w:r>
        <w:rPr>
          <w:rFonts w:ascii="Arial" w:cs="Arial" w:eastAsia="Arial" w:hAnsi="Arial"/>
          <w:sz w:val="18"/>
          <w:szCs w:val="18"/>
          <w:color w:val="auto"/>
        </w:rPr>
        <w:t>Agreed forms of the following legal opinions, each addressed to the Agent, the Security Agent and the Lenders (and in a form and substance satisfactory to the Agent and the Lenders) and capable of being relied upon by any persons who become Lenders pursuant to the primary syndication of the Facility:</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97" w:name="page398"/>
    <w:bookmarkEnd w:id="397"/>
    <w:p>
      <w:pPr>
        <w:ind w:left="1012" w:hanging="506"/>
        <w:spacing w:after="0"/>
        <w:tabs>
          <w:tab w:leader="none" w:pos="1012"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 legal opinion of Norton Rose Fulbright on matters of English law.</w:t>
      </w:r>
    </w:p>
    <w:p>
      <w:pPr>
        <w:spacing w:after="0" w:line="225" w:lineRule="exact"/>
        <w:rPr>
          <w:rFonts w:ascii="Arial" w:cs="Arial" w:eastAsia="Arial" w:hAnsi="Arial"/>
          <w:sz w:val="18"/>
          <w:szCs w:val="18"/>
          <w:color w:val="auto"/>
        </w:rPr>
      </w:pPr>
    </w:p>
    <w:p>
      <w:pPr>
        <w:ind w:left="1012" w:right="620" w:hanging="506"/>
        <w:spacing w:after="0" w:line="342" w:lineRule="auto"/>
        <w:tabs>
          <w:tab w:leader="none" w:pos="1013" w:val="left"/>
        </w:tabs>
        <w:numPr>
          <w:ilvl w:val="0"/>
          <w:numId w:val="577"/>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 and the Agent in each jurisdiction (other than England) in which an Obligor is incorporated and/or which is or is to be the Flag State of the Ship, or in which an Account opened at the relevant time is established.</w:t>
      </w:r>
    </w:p>
    <w:p>
      <w:pPr>
        <w:spacing w:after="0" w:line="120" w:lineRule="exact"/>
        <w:rPr>
          <w:sz w:val="20"/>
          <w:szCs w:val="20"/>
          <w:color w:val="auto"/>
        </w:rPr>
      </w:pPr>
    </w:p>
    <w:p>
      <w:pPr>
        <w:ind w:left="532" w:hanging="532"/>
        <w:spacing w:after="0"/>
        <w:tabs>
          <w:tab w:leader="none" w:pos="532"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29" w:lineRule="exact"/>
        <w:rPr>
          <w:rFonts w:ascii="Arial" w:cs="Arial" w:eastAsia="Arial" w:hAnsi="Arial"/>
          <w:sz w:val="18"/>
          <w:szCs w:val="18"/>
          <w:b w:val="1"/>
          <w:bCs w:val="1"/>
          <w:color w:val="auto"/>
        </w:rPr>
      </w:pPr>
    </w:p>
    <w:p>
      <w:pPr>
        <w:ind w:left="1012" w:right="200" w:hanging="506"/>
        <w:spacing w:after="0" w:line="277" w:lineRule="auto"/>
        <w:tabs>
          <w:tab w:leader="none" w:pos="1003" w:val="left"/>
        </w:tabs>
        <w:numPr>
          <w:ilvl w:val="1"/>
          <w:numId w:val="578"/>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45.2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has accepted its appointment.</w:t>
      </w:r>
    </w:p>
    <w:p>
      <w:pPr>
        <w:spacing w:after="0" w:line="170" w:lineRule="exact"/>
        <w:rPr>
          <w:rFonts w:ascii="Arial" w:cs="Arial" w:eastAsia="Arial" w:hAnsi="Arial"/>
          <w:sz w:val="18"/>
          <w:szCs w:val="18"/>
          <w:color w:val="auto"/>
        </w:rPr>
      </w:pPr>
    </w:p>
    <w:p>
      <w:pPr>
        <w:ind w:left="1012" w:hanging="506"/>
        <w:spacing w:after="0"/>
        <w:tabs>
          <w:tab w:leader="none" w:pos="1012" w:val="left"/>
        </w:tabs>
        <w:numPr>
          <w:ilvl w:val="1"/>
          <w:numId w:val="578"/>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25" w:lineRule="exact"/>
        <w:rPr>
          <w:rFonts w:ascii="Arial" w:cs="Arial" w:eastAsia="Arial" w:hAnsi="Arial"/>
          <w:sz w:val="18"/>
          <w:szCs w:val="18"/>
          <w:color w:val="auto"/>
        </w:rPr>
      </w:pPr>
    </w:p>
    <w:p>
      <w:pPr>
        <w:ind w:left="1012" w:hanging="506"/>
        <w:spacing w:after="0"/>
        <w:tabs>
          <w:tab w:leader="none" w:pos="1012" w:val="left"/>
        </w:tabs>
        <w:numPr>
          <w:ilvl w:val="1"/>
          <w:numId w:val="578"/>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221" w:lineRule="exact"/>
        <w:rPr>
          <w:sz w:val="20"/>
          <w:szCs w:val="20"/>
          <w:color w:val="auto"/>
        </w:rPr>
      </w:pPr>
    </w:p>
    <w:p>
      <w:pPr>
        <w:ind w:left="532" w:hanging="532"/>
        <w:spacing w:after="0"/>
        <w:tabs>
          <w:tab w:leader="none" w:pos="532" w:val="left"/>
        </w:tabs>
        <w:numPr>
          <w:ilvl w:val="0"/>
          <w:numId w:val="579"/>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29" w:lineRule="exact"/>
        <w:rPr>
          <w:sz w:val="20"/>
          <w:szCs w:val="20"/>
          <w:color w:val="auto"/>
        </w:rPr>
      </w:pPr>
    </w:p>
    <w:p>
      <w:pPr>
        <w:ind w:left="512" w:right="600"/>
        <w:spacing w:after="0" w:line="277" w:lineRule="auto"/>
        <w:rPr>
          <w:sz w:val="20"/>
          <w:szCs w:val="20"/>
          <w:color w:val="auto"/>
        </w:rPr>
      </w:pPr>
      <w:r>
        <w:rPr>
          <w:rFonts w:ascii="Arial" w:cs="Arial" w:eastAsia="Arial" w:hAnsi="Arial"/>
          <w:sz w:val="18"/>
          <w:szCs w:val="18"/>
          <w:color w:val="auto"/>
        </w:rPr>
        <w:t>Such documentation and information as any Finance Party may request through the Agent to comply with “know your customer” or similar identification procedures under all laws and regulations applicable to that Finance Party.</w:t>
      </w:r>
    </w:p>
    <w:p>
      <w:pPr>
        <w:spacing w:after="0" w:line="166" w:lineRule="exact"/>
        <w:rPr>
          <w:sz w:val="20"/>
          <w:szCs w:val="20"/>
          <w:color w:val="auto"/>
        </w:rPr>
      </w:pPr>
    </w:p>
    <w:p>
      <w:pPr>
        <w:ind w:left="532" w:hanging="532"/>
        <w:spacing w:after="0"/>
        <w:tabs>
          <w:tab w:leader="none" w:pos="532" w:val="left"/>
        </w:tabs>
        <w:numPr>
          <w:ilvl w:val="0"/>
          <w:numId w:val="580"/>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29" w:lineRule="exact"/>
        <w:rPr>
          <w:sz w:val="20"/>
          <w:szCs w:val="20"/>
          <w:color w:val="auto"/>
        </w:rPr>
      </w:pPr>
    </w:p>
    <w:p>
      <w:pPr>
        <w:jc w:val="both"/>
        <w:ind w:left="512"/>
        <w:spacing w:after="0" w:line="311" w:lineRule="auto"/>
        <w:rPr>
          <w:sz w:val="20"/>
          <w:szCs w:val="20"/>
          <w:color w:val="auto"/>
        </w:rPr>
      </w:pPr>
      <w:r>
        <w:rPr>
          <w:rFonts w:ascii="Arial" w:cs="Arial" w:eastAsia="Arial" w:hAnsi="Arial"/>
          <w:sz w:val="16"/>
          <w:szCs w:val="16"/>
          <w:color w:val="auto"/>
        </w:rPr>
        <w:t>Evidence that any Account required to be established under clause 27 (</w:t>
      </w:r>
      <w:r>
        <w:rPr>
          <w:rFonts w:ascii="Arial" w:cs="Arial" w:eastAsia="Arial" w:hAnsi="Arial"/>
          <w:sz w:val="16"/>
          <w:szCs w:val="16"/>
          <w:i w:val="1"/>
          <w:iCs w:val="1"/>
          <w:color w:val="auto"/>
        </w:rPr>
        <w:t>Bank accounts</w:t>
      </w:r>
      <w:r>
        <w:rPr>
          <w:rFonts w:ascii="Arial" w:cs="Arial" w:eastAsia="Arial" w:hAnsi="Arial"/>
          <w:sz w:val="16"/>
          <w:szCs w:val="16"/>
          <w:color w:val="auto"/>
        </w:rPr>
        <w:t>) has been opened and established with the Account Bank and that all documents required by the Account Bank in relation to the opening of the Accounts have been received (including disclosure of the ultimate beneficial ownership of the Borrower and any other documents required for the purpose of completing the “know your customer” process).</w:t>
      </w:r>
    </w:p>
    <w:p>
      <w:pPr>
        <w:spacing w:after="0" w:line="145" w:lineRule="exact"/>
        <w:rPr>
          <w:sz w:val="20"/>
          <w:szCs w:val="20"/>
          <w:color w:val="auto"/>
        </w:rPr>
      </w:pPr>
    </w:p>
    <w:p>
      <w:pPr>
        <w:ind w:left="532" w:hanging="532"/>
        <w:spacing w:after="0"/>
        <w:tabs>
          <w:tab w:leader="none" w:pos="532"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color w:val="auto"/>
        </w:rPr>
        <w:t>Hedging Master Agreements and Hedging Contract Security</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color w:val="auto"/>
        </w:rPr>
        <w:t>Evidence that each Hedging Master Agreement has been executed by the Borrower and each Hedging Provider.</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398" w:name="page399"/>
    <w:bookmarkEnd w:id="398"/>
    <w:p>
      <w:pPr>
        <w:jc w:val="center"/>
        <w:ind w:right="-31"/>
        <w:spacing w:after="0"/>
        <w:rPr>
          <w:sz w:val="20"/>
          <w:szCs w:val="20"/>
          <w:color w:val="auto"/>
        </w:rPr>
      </w:pPr>
      <w:r>
        <w:rPr>
          <w:rFonts w:ascii="Arial" w:cs="Arial" w:eastAsia="Arial" w:hAnsi="Arial"/>
          <w:sz w:val="18"/>
          <w:szCs w:val="18"/>
          <w:b w:val="1"/>
          <w:bCs w:val="1"/>
          <w:color w:val="auto"/>
        </w:rPr>
        <w:t>Part°2</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Conditions precedent to Utilisation</w:t>
      </w:r>
    </w:p>
    <w:p>
      <w:pPr>
        <w:spacing w:after="0" w:line="207" w:lineRule="exact"/>
        <w:rPr>
          <w:sz w:val="20"/>
          <w:szCs w:val="20"/>
          <w:color w:val="auto"/>
        </w:rPr>
      </w:pPr>
    </w:p>
    <w:p>
      <w:pPr>
        <w:ind w:left="532" w:hanging="532"/>
        <w:spacing w:after="0"/>
        <w:tabs>
          <w:tab w:leader="none" w:pos="532"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Request</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color w:val="auto"/>
        </w:rPr>
        <w:t>A duly completed Utilisation Request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1" w:lineRule="exact"/>
        <w:rPr>
          <w:sz w:val="20"/>
          <w:szCs w:val="20"/>
          <w:color w:val="auto"/>
        </w:rPr>
      </w:pPr>
    </w:p>
    <w:p>
      <w:pPr>
        <w:ind w:left="532" w:hanging="532"/>
        <w:spacing w:after="0"/>
        <w:tabs>
          <w:tab w:leader="none" w:pos="532"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9" w:lineRule="exact"/>
        <w:rPr>
          <w:rFonts w:ascii="Arial" w:cs="Arial" w:eastAsia="Arial" w:hAnsi="Arial"/>
          <w:sz w:val="18"/>
          <w:szCs w:val="18"/>
          <w:b w:val="1"/>
          <w:bCs w:val="1"/>
          <w:color w:val="auto"/>
        </w:rPr>
      </w:pPr>
    </w:p>
    <w:p>
      <w:pPr>
        <w:ind w:left="1012" w:hanging="506"/>
        <w:spacing w:after="0"/>
        <w:tabs>
          <w:tab w:leader="none" w:pos="1012" w:val="left"/>
        </w:tabs>
        <w:numPr>
          <w:ilvl w:val="1"/>
          <w:numId w:val="583"/>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duly executed by the Borrower.</w:t>
      </w:r>
    </w:p>
    <w:p>
      <w:pPr>
        <w:spacing w:after="0" w:line="225" w:lineRule="exact"/>
        <w:rPr>
          <w:rFonts w:ascii="Arial" w:cs="Arial" w:eastAsia="Arial" w:hAnsi="Arial"/>
          <w:sz w:val="18"/>
          <w:szCs w:val="18"/>
          <w:color w:val="auto"/>
        </w:rPr>
      </w:pPr>
    </w:p>
    <w:p>
      <w:pPr>
        <w:ind w:left="1012" w:hanging="506"/>
        <w:spacing w:after="0"/>
        <w:tabs>
          <w:tab w:leader="none" w:pos="1012" w:val="left"/>
        </w:tabs>
        <w:numPr>
          <w:ilvl w:val="1"/>
          <w:numId w:val="583"/>
        </w:numPr>
        <w:rPr>
          <w:rFonts w:ascii="Arial" w:cs="Arial" w:eastAsia="Arial" w:hAnsi="Arial"/>
          <w:sz w:val="18"/>
          <w:szCs w:val="18"/>
          <w:color w:val="auto"/>
        </w:rPr>
      </w:pPr>
      <w:r>
        <w:rPr>
          <w:rFonts w:ascii="Arial" w:cs="Arial" w:eastAsia="Arial" w:hAnsi="Arial"/>
          <w:sz w:val="18"/>
          <w:szCs w:val="18"/>
          <w:color w:val="auto"/>
        </w:rPr>
        <w:t>A Manager’s Undertaking duly executed by each Manager of the Ship.</w:t>
      </w:r>
    </w:p>
    <w:p>
      <w:pPr>
        <w:spacing w:after="0" w:line="225" w:lineRule="exact"/>
        <w:rPr>
          <w:rFonts w:ascii="Arial" w:cs="Arial" w:eastAsia="Arial" w:hAnsi="Arial"/>
          <w:sz w:val="18"/>
          <w:szCs w:val="18"/>
          <w:color w:val="auto"/>
        </w:rPr>
      </w:pPr>
    </w:p>
    <w:p>
      <w:pPr>
        <w:ind w:left="1012" w:right="100" w:hanging="506"/>
        <w:spacing w:after="0" w:line="277" w:lineRule="auto"/>
        <w:tabs>
          <w:tab w:leader="none" w:pos="1016" w:val="left"/>
        </w:tabs>
        <w:numPr>
          <w:ilvl w:val="1"/>
          <w:numId w:val="583"/>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 and those set out in paragraph 3 below.</w:t>
      </w:r>
    </w:p>
    <w:p>
      <w:pPr>
        <w:spacing w:after="0" w:line="166" w:lineRule="exact"/>
        <w:rPr>
          <w:sz w:val="20"/>
          <w:szCs w:val="20"/>
          <w:color w:val="auto"/>
        </w:rPr>
      </w:pPr>
    </w:p>
    <w:p>
      <w:pPr>
        <w:ind w:left="532" w:hanging="532"/>
        <w:spacing w:after="0"/>
        <w:tabs>
          <w:tab w:leader="none" w:pos="532"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Charter</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color w:val="auto"/>
        </w:rPr>
        <w:t>If the Ship is subject to a Charter, a copy of the same together with the relevant Charter Assignment duly executed by the Borrower.</w:t>
      </w:r>
    </w:p>
    <w:p>
      <w:pPr>
        <w:spacing w:after="0" w:line="221" w:lineRule="exact"/>
        <w:rPr>
          <w:sz w:val="20"/>
          <w:szCs w:val="20"/>
          <w:color w:val="auto"/>
        </w:rPr>
      </w:pPr>
    </w:p>
    <w:p>
      <w:pPr>
        <w:ind w:left="532" w:hanging="532"/>
        <w:spacing w:after="0"/>
        <w:tabs>
          <w:tab w:leader="none" w:pos="532"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registration of Ship</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color w:val="auto"/>
        </w:rPr>
        <w:t>Evidence that the Ship:</w:t>
      </w:r>
    </w:p>
    <w:p>
      <w:pPr>
        <w:spacing w:after="0" w:line="225" w:lineRule="exact"/>
        <w:rPr>
          <w:sz w:val="20"/>
          <w:szCs w:val="20"/>
          <w:color w:val="auto"/>
        </w:rPr>
      </w:pPr>
    </w:p>
    <w:p>
      <w:pPr>
        <w:ind w:left="1012" w:right="200" w:hanging="506"/>
        <w:spacing w:after="0" w:line="277" w:lineRule="auto"/>
        <w:tabs>
          <w:tab w:leader="none" w:pos="100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legally and beneficially owned by the Borrower and registered in the name of the Borrower through the relevant Registry as a ship under the laws and flag of the relevant Flag State;</w:t>
      </w:r>
    </w:p>
    <w:p>
      <w:pPr>
        <w:spacing w:after="0" w:line="170" w:lineRule="exact"/>
        <w:rPr>
          <w:rFonts w:ascii="Arial" w:cs="Arial" w:eastAsia="Arial" w:hAnsi="Arial"/>
          <w:sz w:val="18"/>
          <w:szCs w:val="18"/>
          <w:color w:val="auto"/>
        </w:rPr>
      </w:pPr>
    </w:p>
    <w:p>
      <w:pPr>
        <w:ind w:left="1012" w:right="420" w:hanging="506"/>
        <w:spacing w:after="0" w:line="277" w:lineRule="auto"/>
        <w:tabs>
          <w:tab w:leader="none" w:pos="101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requirements and recommendations of the relevant Classification Society which are overdue;</w:t>
      </w:r>
    </w:p>
    <w:p>
      <w:pPr>
        <w:spacing w:after="0" w:line="170" w:lineRule="exact"/>
        <w:rPr>
          <w:rFonts w:ascii="Arial" w:cs="Arial" w:eastAsia="Arial" w:hAnsi="Arial"/>
          <w:sz w:val="18"/>
          <w:szCs w:val="18"/>
          <w:color w:val="auto"/>
        </w:rPr>
      </w:pPr>
    </w:p>
    <w:p>
      <w:pPr>
        <w:ind w:left="1012" w:hanging="506"/>
        <w:spacing w:after="0"/>
        <w:tabs>
          <w:tab w:leader="none" w:pos="101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 and</w:t>
      </w:r>
    </w:p>
    <w:p>
      <w:pPr>
        <w:spacing w:after="0" w:line="225" w:lineRule="exact"/>
        <w:rPr>
          <w:rFonts w:ascii="Arial" w:cs="Arial" w:eastAsia="Arial" w:hAnsi="Arial"/>
          <w:sz w:val="18"/>
          <w:szCs w:val="18"/>
          <w:color w:val="auto"/>
        </w:rPr>
      </w:pPr>
    </w:p>
    <w:p>
      <w:pPr>
        <w:ind w:left="1012" w:hanging="506"/>
        <w:spacing w:after="0"/>
        <w:tabs>
          <w:tab w:leader="none" w:pos="101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free of any other charter commitment which would require approval under the Finance Documents.</w:t>
      </w:r>
    </w:p>
    <w:p>
      <w:pPr>
        <w:spacing w:after="0" w:line="221" w:lineRule="exact"/>
        <w:rPr>
          <w:sz w:val="20"/>
          <w:szCs w:val="20"/>
          <w:color w:val="auto"/>
        </w:rPr>
      </w:pPr>
    </w:p>
    <w:p>
      <w:pPr>
        <w:ind w:left="532" w:hanging="532"/>
        <w:spacing w:after="0"/>
        <w:tabs>
          <w:tab w:leader="none" w:pos="532"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29" w:lineRule="exact"/>
        <w:rPr>
          <w:sz w:val="20"/>
          <w:szCs w:val="20"/>
          <w:color w:val="auto"/>
        </w:rPr>
      </w:pPr>
    </w:p>
    <w:p>
      <w:pPr>
        <w:ind w:left="512" w:right="260"/>
        <w:spacing w:after="0" w:line="277" w:lineRule="auto"/>
        <w:rPr>
          <w:sz w:val="20"/>
          <w:szCs w:val="20"/>
          <w:color w:val="auto"/>
        </w:rPr>
      </w:pPr>
      <w:r>
        <w:rPr>
          <w:rFonts w:ascii="Arial" w:cs="Arial" w:eastAsia="Arial" w:hAnsi="Arial"/>
          <w:sz w:val="18"/>
          <w:szCs w:val="18"/>
          <w:color w:val="auto"/>
        </w:rPr>
        <w:t>Evidence that the Mortgage has been registered with first priority and/or preferred status against the Ship through its Registry under the laws and flag of its Flag State.</w:t>
      </w:r>
    </w:p>
    <w:p>
      <w:pPr>
        <w:spacing w:after="0" w:line="166" w:lineRule="exact"/>
        <w:rPr>
          <w:sz w:val="20"/>
          <w:szCs w:val="20"/>
          <w:color w:val="auto"/>
        </w:rPr>
      </w:pPr>
    </w:p>
    <w:p>
      <w:pPr>
        <w:ind w:left="532" w:hanging="532"/>
        <w:spacing w:after="0"/>
        <w:tabs>
          <w:tab w:leader="none" w:pos="532"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color w:val="auto"/>
        </w:rPr>
        <w:t>In relation to the Ship’s Insurances:</w:t>
      </w:r>
    </w:p>
    <w:p>
      <w:pPr>
        <w:spacing w:after="0" w:line="225" w:lineRule="exact"/>
        <w:rPr>
          <w:sz w:val="20"/>
          <w:szCs w:val="20"/>
          <w:color w:val="auto"/>
        </w:rPr>
      </w:pPr>
    </w:p>
    <w:p>
      <w:pPr>
        <w:ind w:left="1012" w:hanging="506"/>
        <w:spacing w:after="0"/>
        <w:tabs>
          <w:tab w:leader="none" w:pos="1012"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25" w:lineRule="exact"/>
        <w:rPr>
          <w:rFonts w:ascii="Arial" w:cs="Arial" w:eastAsia="Arial" w:hAnsi="Arial"/>
          <w:sz w:val="18"/>
          <w:szCs w:val="18"/>
          <w:color w:val="auto"/>
        </w:rPr>
      </w:pPr>
    </w:p>
    <w:p>
      <w:pPr>
        <w:ind w:left="1012" w:hanging="506"/>
        <w:spacing w:after="0"/>
        <w:tabs>
          <w:tab w:leader="none" w:pos="1012"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12" w:hanging="506"/>
        <w:spacing w:after="0" w:line="277" w:lineRule="auto"/>
        <w:tabs>
          <w:tab w:leader="none" w:pos="101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99" w:name="page400"/>
    <w:bookmarkEnd w:id="399"/>
    <w:p>
      <w:pPr>
        <w:ind w:left="540" w:hanging="532"/>
        <w:spacing w:after="0"/>
        <w:tabs>
          <w:tab w:leader="none" w:pos="54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ISM and ISPS Code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Copies of:</w:t>
      </w:r>
    </w:p>
    <w:p>
      <w:pPr>
        <w:spacing w:after="0" w:line="225" w:lineRule="exact"/>
        <w:rPr>
          <w:sz w:val="20"/>
          <w:szCs w:val="20"/>
          <w:color w:val="auto"/>
        </w:rPr>
      </w:pPr>
    </w:p>
    <w:p>
      <w:pPr>
        <w:ind w:left="1020" w:right="260" w:hanging="506"/>
        <w:spacing w:after="0" w:line="277" w:lineRule="auto"/>
        <w:tabs>
          <w:tab w:leader="none" w:pos="1011"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Ship for the purposes of that code;</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safety management certificate in respect of the Ship issued in accordance with the ISM Code;</w:t>
      </w:r>
    </w:p>
    <w:p>
      <w:pPr>
        <w:spacing w:after="0" w:line="225" w:lineRule="exact"/>
        <w:rPr>
          <w:rFonts w:ascii="Arial" w:cs="Arial" w:eastAsia="Arial" w:hAnsi="Arial"/>
          <w:sz w:val="18"/>
          <w:szCs w:val="18"/>
          <w:color w:val="auto"/>
        </w:rPr>
      </w:pPr>
    </w:p>
    <w:p>
      <w:pPr>
        <w:ind w:left="1020" w:hanging="506"/>
        <w:spacing w:after="0"/>
        <w:tabs>
          <w:tab w:leader="none" w:pos="102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the Ship issued under the ISPS Code; and</w:t>
      </w:r>
    </w:p>
    <w:p>
      <w:pPr>
        <w:spacing w:after="0" w:line="225" w:lineRule="exact"/>
        <w:rPr>
          <w:rFonts w:ascii="Arial" w:cs="Arial" w:eastAsia="Arial" w:hAnsi="Arial"/>
          <w:sz w:val="18"/>
          <w:szCs w:val="18"/>
          <w:color w:val="auto"/>
        </w:rPr>
      </w:pPr>
    </w:p>
    <w:p>
      <w:pPr>
        <w:ind w:left="1020" w:right="180" w:hanging="506"/>
        <w:spacing w:after="0" w:line="277" w:lineRule="auto"/>
        <w:tabs>
          <w:tab w:leader="none" w:pos="1021"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the Ship or in relation to its operation under any applicable law.</w:t>
      </w:r>
    </w:p>
    <w:p>
      <w:pPr>
        <w:spacing w:after="0" w:line="166" w:lineRule="exact"/>
        <w:rPr>
          <w:sz w:val="20"/>
          <w:szCs w:val="20"/>
          <w:color w:val="auto"/>
        </w:rPr>
      </w:pPr>
    </w:p>
    <w:p>
      <w:pPr>
        <w:ind w:left="540" w:hanging="532"/>
        <w:spacing w:after="0"/>
        <w:tabs>
          <w:tab w:leader="none" w:pos="54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Valuations of the Ship (dated not more than 30 days before the Utilisation Date) in accordance with clause 25 (M</w:t>
      </w:r>
      <w:r>
        <w:rPr>
          <w:rFonts w:ascii="Arial" w:cs="Arial" w:eastAsia="Arial" w:hAnsi="Arial"/>
          <w:sz w:val="18"/>
          <w:szCs w:val="18"/>
          <w:i w:val="1"/>
          <w:iCs w:val="1"/>
          <w:color w:val="auto"/>
        </w:rPr>
        <w:t>inimum security value</w:t>
      </w:r>
      <w:r>
        <w:rPr>
          <w:rFonts w:ascii="Arial" w:cs="Arial" w:eastAsia="Arial" w:hAnsi="Arial"/>
          <w:sz w:val="18"/>
          <w:szCs w:val="18"/>
          <w:color w:val="auto"/>
        </w:rPr>
        <w:t>) showing the Security Value.</w:t>
      </w:r>
    </w:p>
    <w:p>
      <w:pPr>
        <w:spacing w:after="0" w:line="166" w:lineRule="exact"/>
        <w:rPr>
          <w:sz w:val="20"/>
          <w:szCs w:val="20"/>
          <w:color w:val="auto"/>
        </w:rPr>
      </w:pPr>
    </w:p>
    <w:p>
      <w:pPr>
        <w:ind w:left="540" w:hanging="532"/>
        <w:spacing w:after="0"/>
        <w:tabs>
          <w:tab w:leader="none" w:pos="54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Account Security</w:t>
      </w:r>
    </w:p>
    <w:p>
      <w:pPr>
        <w:spacing w:after="0" w:line="229" w:lineRule="exact"/>
        <w:rPr>
          <w:sz w:val="20"/>
          <w:szCs w:val="20"/>
          <w:color w:val="auto"/>
        </w:rPr>
      </w:pPr>
    </w:p>
    <w:p>
      <w:pPr>
        <w:jc w:val="both"/>
        <w:ind w:left="520" w:right="40"/>
        <w:spacing w:after="0" w:line="311" w:lineRule="auto"/>
        <w:rPr>
          <w:sz w:val="20"/>
          <w:szCs w:val="20"/>
          <w:color w:val="auto"/>
        </w:rPr>
      </w:pPr>
      <w:r>
        <w:rPr>
          <w:rFonts w:ascii="Arial" w:cs="Arial" w:eastAsia="Arial" w:hAnsi="Arial"/>
          <w:sz w:val="16"/>
          <w:szCs w:val="16"/>
          <w:color w:val="auto"/>
        </w:rPr>
        <w:t>Evidence that (a) any Account Security in respect of each Account has been executed and delivered by the relevant Account Holder in favour of the Security Agent and/or any of the other Finance Parties and (b) that any notice required to be given to the Account Bank under that Account Security has been given to it and acknowledged by it in the manner required by that Account Security and that an amount has been credited to it.</w:t>
      </w:r>
    </w:p>
    <w:p>
      <w:pPr>
        <w:spacing w:after="0" w:line="14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Evidence that the fees, commissions, costs and expenses that are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have been paid or will be paid by the Utilisation Date.</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left="520" w:right="60"/>
        <w:spacing w:after="0" w:line="263" w:lineRule="auto"/>
        <w:rPr>
          <w:sz w:val="20"/>
          <w:szCs w:val="20"/>
          <w:color w:val="auto"/>
        </w:rPr>
      </w:pPr>
      <w:r>
        <w:rPr>
          <w:rFonts w:ascii="Arial" w:cs="Arial" w:eastAsia="Arial" w:hAnsi="Arial"/>
          <w:sz w:val="18"/>
          <w:szCs w:val="18"/>
          <w:color w:val="auto"/>
        </w:rPr>
        <w:t>Copies of the Ship’s certificate of financial responsibility and vessel response plan required under United States law and evidence of their approval by the appropriate United States government entity and (if requested by the Agent) an environmental report in respect of the Ship from an approved person.</w:t>
      </w:r>
    </w:p>
    <w:p>
      <w:pPr>
        <w:spacing w:after="0" w:line="18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Consents</w:t>
      </w:r>
    </w:p>
    <w:p>
      <w:pPr>
        <w:spacing w:after="0" w:line="229"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Evidence that any consents required in connection with the registration of title to the Ship, the registration of the Mortgage and the assignment of any Charter have been obtained.</w:t>
      </w:r>
    </w:p>
    <w:p>
      <w:pPr>
        <w:spacing w:after="0" w:line="16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Management Agreement</w:t>
      </w:r>
    </w:p>
    <w:p>
      <w:pPr>
        <w:spacing w:after="0" w:line="229"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color w:val="auto"/>
        </w:rPr>
        <w:t>A copy, certified by an approved person to be a true and complete copy, of the Management Agreement between the Borrower and each Manager, relating to the appointment of that Manager and the management services to be provided by it to the Borrower in respect of the Ship and, in relation to the appointment of GasLog LNG Services Ltd. as Commercial Manager of the Ship, of a novation agreement between the Borrower and GasLog LNG Services Ltd. relating to the latter’s appointment in respect of the Ship with effect from the Utilisation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0" w:name="page401"/>
    <w:bookmarkEnd w:id="400"/>
    <w:p>
      <w:pPr>
        <w:spacing w:after="0"/>
        <w:tabs>
          <w:tab w:leader="none" w:pos="5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Liquidity</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Evidence that the Borrower is in compliance with clause 21.15 (</w:t>
      </w:r>
      <w:r>
        <w:rPr>
          <w:rFonts w:ascii="Arial" w:cs="Arial" w:eastAsia="Arial" w:hAnsi="Arial"/>
          <w:sz w:val="18"/>
          <w:szCs w:val="18"/>
          <w:i w:val="1"/>
          <w:iCs w:val="1"/>
          <w:color w:val="auto"/>
        </w:rPr>
        <w:t>Liquidity</w:t>
      </w:r>
      <w:r>
        <w:rPr>
          <w:rFonts w:ascii="Arial" w:cs="Arial" w:eastAsia="Arial" w:hAnsi="Arial"/>
          <w:sz w:val="18"/>
          <w:szCs w:val="18"/>
          <w:color w:val="auto"/>
        </w:rPr>
        <w:t>) and that the minimum balance required thereunder has been paid into the relevant Earnings Account.</w:t>
      </w:r>
    </w:p>
    <w:p>
      <w:pPr>
        <w:spacing w:after="0" w:line="166" w:lineRule="exact"/>
        <w:rPr>
          <w:sz w:val="20"/>
          <w:szCs w:val="20"/>
          <w:color w:val="auto"/>
        </w:rPr>
      </w:pPr>
    </w:p>
    <w:p>
      <w:pPr>
        <w:ind w:left="540" w:hanging="532"/>
        <w:spacing w:after="0"/>
        <w:tabs>
          <w:tab w:leader="none" w:pos="540"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9" w:lineRule="exact"/>
        <w:rPr>
          <w:rFonts w:ascii="Arial" w:cs="Arial" w:eastAsia="Arial" w:hAnsi="Arial"/>
          <w:sz w:val="18"/>
          <w:szCs w:val="18"/>
          <w:b w:val="1"/>
          <w:bCs w:val="1"/>
          <w:color w:val="auto"/>
        </w:rPr>
      </w:pPr>
    </w:p>
    <w:p>
      <w:pPr>
        <w:ind w:left="1020" w:right="160" w:hanging="506"/>
        <w:spacing w:after="0" w:line="277" w:lineRule="auto"/>
        <w:tabs>
          <w:tab w:leader="none" w:pos="1011" w:val="left"/>
        </w:tabs>
        <w:numPr>
          <w:ilvl w:val="1"/>
          <w:numId w:val="594"/>
        </w:numPr>
        <w:rPr>
          <w:rFonts w:ascii="Arial" w:cs="Arial" w:eastAsia="Arial" w:hAnsi="Arial"/>
          <w:sz w:val="18"/>
          <w:szCs w:val="18"/>
          <w:color w:val="auto"/>
        </w:rPr>
      </w:pPr>
      <w:r>
        <w:rPr>
          <w:rFonts w:ascii="Arial" w:cs="Arial" w:eastAsia="Arial" w:hAnsi="Arial"/>
          <w:sz w:val="18"/>
          <w:szCs w:val="18"/>
          <w:color w:val="auto"/>
        </w:rPr>
        <w:t>A legal opinion of Norton Rose Fulbright addressed to the Arranger, the Security Agent and the Agent and for the benefit of all the Finance Parties on matters of English law, substantially in the form approved by the Agent prior to Utilisation.</w:t>
      </w:r>
    </w:p>
    <w:p>
      <w:pPr>
        <w:spacing w:after="0" w:line="170" w:lineRule="exact"/>
        <w:rPr>
          <w:rFonts w:ascii="Arial" w:cs="Arial" w:eastAsia="Arial" w:hAnsi="Arial"/>
          <w:sz w:val="18"/>
          <w:szCs w:val="18"/>
          <w:color w:val="auto"/>
        </w:rPr>
      </w:pPr>
    </w:p>
    <w:p>
      <w:pPr>
        <w:ind w:left="1020" w:right="260" w:hanging="506"/>
        <w:spacing w:after="0" w:line="311" w:lineRule="auto"/>
        <w:tabs>
          <w:tab w:leader="none" w:pos="1021" w:val="left"/>
        </w:tabs>
        <w:numPr>
          <w:ilvl w:val="1"/>
          <w:numId w:val="594"/>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 the Security Agent and the Agent in each jurisdiction in which an Obligor and a Manager is incorporated and/or which is or is to be the Flag State of the Ship, or which governs any assets which are to be the subject of a Security Interest for the benefit of all the Finance Parties substantially in the form approved by the Agent prior to Utilisation.</w:t>
      </w:r>
    </w:p>
    <w:p>
      <w:pPr>
        <w:spacing w:after="0" w:line="144" w:lineRule="exact"/>
        <w:rPr>
          <w:rFonts w:ascii="Arial" w:cs="Arial" w:eastAsia="Arial" w:hAnsi="Arial"/>
          <w:sz w:val="16"/>
          <w:szCs w:val="16"/>
          <w:color w:val="auto"/>
        </w:rPr>
      </w:pPr>
    </w:p>
    <w:p>
      <w:pPr>
        <w:ind w:left="540" w:hanging="532"/>
        <w:spacing w:after="0"/>
        <w:tabs>
          <w:tab w:leader="none" w:pos="540"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Existing Indebtedness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Evidence:</w:t>
      </w:r>
    </w:p>
    <w:p>
      <w:pPr>
        <w:spacing w:after="0" w:line="225" w:lineRule="exact"/>
        <w:rPr>
          <w:sz w:val="20"/>
          <w:szCs w:val="20"/>
          <w:color w:val="auto"/>
        </w:rPr>
      </w:pPr>
    </w:p>
    <w:p>
      <w:pPr>
        <w:ind w:left="1020" w:right="140" w:hanging="506"/>
        <w:spacing w:after="0" w:line="277" w:lineRule="auto"/>
        <w:tabs>
          <w:tab w:leader="none" w:pos="101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of the actual amount of the Existing Indebtedness (together with interest thereon and all other amounts owing by the Borrower in relation to the same) as at the proposed date of prepayment of the Existing Indebtedness;</w:t>
      </w:r>
    </w:p>
    <w:p>
      <w:pPr>
        <w:spacing w:after="0" w:line="170" w:lineRule="exact"/>
        <w:rPr>
          <w:rFonts w:ascii="Arial" w:cs="Arial" w:eastAsia="Arial" w:hAnsi="Arial"/>
          <w:sz w:val="18"/>
          <w:szCs w:val="18"/>
          <w:color w:val="auto"/>
        </w:rPr>
      </w:pPr>
    </w:p>
    <w:p>
      <w:pPr>
        <w:ind w:left="1020" w:right="100" w:hanging="506"/>
        <w:spacing w:after="0" w:line="263" w:lineRule="auto"/>
        <w:tabs>
          <w:tab w:leader="none" w:pos="1021"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that any sums required in order to repay all amounts referred to in paragraph (a) above and which are not financed by the proceeds of the Loan are available for that purpose to the Obligors and have been sent to the lenders of the Existing Indebtedness together with the proceeds of the Loan;</w:t>
      </w:r>
    </w:p>
    <w:p>
      <w:pPr>
        <w:spacing w:after="0" w:line="183" w:lineRule="exact"/>
        <w:rPr>
          <w:rFonts w:ascii="Arial" w:cs="Arial" w:eastAsia="Arial" w:hAnsi="Arial"/>
          <w:sz w:val="18"/>
          <w:szCs w:val="18"/>
          <w:color w:val="auto"/>
        </w:rPr>
      </w:pPr>
    </w:p>
    <w:p>
      <w:pPr>
        <w:ind w:left="1020" w:right="260" w:hanging="506"/>
        <w:spacing w:after="0" w:line="277" w:lineRule="auto"/>
        <w:tabs>
          <w:tab w:leader="none" w:pos="1024"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that all amounts referred to in paragraph (a) have been repaid in full (or will be repaid in full with the proceeds of the Loan and such other sums are referred to in paragraph (b) above); and</w:t>
      </w:r>
    </w:p>
    <w:p>
      <w:pPr>
        <w:spacing w:after="0" w:line="170" w:lineRule="exact"/>
        <w:rPr>
          <w:rFonts w:ascii="Arial" w:cs="Arial" w:eastAsia="Arial" w:hAnsi="Arial"/>
          <w:sz w:val="18"/>
          <w:szCs w:val="18"/>
          <w:color w:val="auto"/>
        </w:rPr>
      </w:pPr>
    </w:p>
    <w:p>
      <w:pPr>
        <w:ind w:left="1020" w:right="120" w:hanging="506"/>
        <w:spacing w:after="0" w:line="308" w:lineRule="auto"/>
        <w:tabs>
          <w:tab w:leader="none" w:pos="1021" w:val="left"/>
        </w:tabs>
        <w:numPr>
          <w:ilvl w:val="0"/>
          <w:numId w:val="595"/>
        </w:numPr>
        <w:rPr>
          <w:rFonts w:ascii="Arial" w:cs="Arial" w:eastAsia="Arial" w:hAnsi="Arial"/>
          <w:sz w:val="17"/>
          <w:szCs w:val="17"/>
          <w:color w:val="auto"/>
        </w:rPr>
      </w:pPr>
      <w:r>
        <w:rPr>
          <w:rFonts w:ascii="Arial" w:cs="Arial" w:eastAsia="Arial" w:hAnsi="Arial"/>
          <w:sz w:val="17"/>
          <w:szCs w:val="17"/>
          <w:color w:val="auto"/>
        </w:rPr>
        <w:t>that any Security Interests over or in relation to the Obligors and/or the Charged Property in connection with the Existing Indebtedness have been discharged and the Borrower has been released from its obligations in relation to the Existing Indebtedness.</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Hedging Master Agreements and Hedging Contract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Evidence that:</w:t>
      </w:r>
    </w:p>
    <w:p>
      <w:pPr>
        <w:spacing w:after="0" w:line="225" w:lineRule="exact"/>
        <w:rPr>
          <w:sz w:val="20"/>
          <w:szCs w:val="20"/>
          <w:color w:val="auto"/>
        </w:rPr>
      </w:pPr>
    </w:p>
    <w:p>
      <w:pPr>
        <w:ind w:left="1020" w:hanging="506"/>
        <w:spacing w:after="0"/>
        <w:tabs>
          <w:tab w:leader="none" w:pos="102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the Borrower has executed the Hedging Contract Security; and</w:t>
      </w:r>
    </w:p>
    <w:p>
      <w:pPr>
        <w:spacing w:after="0" w:line="225" w:lineRule="exact"/>
        <w:rPr>
          <w:rFonts w:ascii="Arial" w:cs="Arial" w:eastAsia="Arial" w:hAnsi="Arial"/>
          <w:sz w:val="18"/>
          <w:szCs w:val="18"/>
          <w:color w:val="auto"/>
        </w:rPr>
      </w:pPr>
    </w:p>
    <w:p>
      <w:pPr>
        <w:ind w:left="1020" w:hanging="506"/>
        <w:spacing w:after="0" w:line="277" w:lineRule="auto"/>
        <w:tabs>
          <w:tab w:leader="none" w:pos="1021"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any notice required to be given to each Hedging Provider under the Hedging Contract Security has been given to it and acknowledged by it in the manner required by the Hedging Contract Security.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1" w:name="page402"/>
    <w:bookmarkEnd w:id="401"/>
    <w:p>
      <w:pPr>
        <w:jc w:val="center"/>
        <w:ind w:right="-99"/>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Utilisation Request</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Gas-fifteen Ltd.</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National Bank of Greece S.A. </w:t>
      </w:r>
      <w:r>
        <w:rPr>
          <w:rFonts w:ascii="Arial" w:cs="Arial" w:eastAsia="Arial" w:hAnsi="Arial"/>
          <w:sz w:val="18"/>
          <w:szCs w:val="18"/>
          <w:color w:val="auto"/>
        </w:rPr>
        <w:t>as Agent</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$97,500,000 Facility Agreement dated [·] 2020 (the Agreement)</w:t>
      </w:r>
    </w:p>
    <w:p>
      <w:pPr>
        <w:spacing w:after="0" w:line="229" w:lineRule="exact"/>
        <w:rPr>
          <w:sz w:val="20"/>
          <w:szCs w:val="20"/>
          <w:color w:val="auto"/>
        </w:rPr>
      </w:pPr>
    </w:p>
    <w:p>
      <w:pPr>
        <w:ind w:left="520" w:right="420" w:hanging="512"/>
        <w:spacing w:after="0" w:line="277" w:lineRule="auto"/>
        <w:tabs>
          <w:tab w:leader="none" w:pos="509" w:val="left"/>
        </w:tabs>
        <w:numPr>
          <w:ilvl w:val="0"/>
          <w:numId w:val="597"/>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the Utilisation Request. Terms defined in the Agreement have the same meaning in this Utilisation Request unless given a different meaning in this Utilisation Request.</w:t>
      </w:r>
    </w:p>
    <w:p>
      <w:pPr>
        <w:spacing w:after="0" w:line="170" w:lineRule="exact"/>
        <w:rPr>
          <w:sz w:val="20"/>
          <w:szCs w:val="20"/>
          <w:color w:val="auto"/>
        </w:rPr>
      </w:pPr>
    </w:p>
    <w:p>
      <w:pPr>
        <w:ind w:left="500" w:hanging="492"/>
        <w:spacing w:after="0"/>
        <w:tabs>
          <w:tab w:leader="none" w:pos="500" w:val="left"/>
        </w:tabs>
        <w:numPr>
          <w:ilvl w:val="0"/>
          <w:numId w:val="598"/>
        </w:numPr>
        <w:rPr>
          <w:rFonts w:ascii="Arial" w:cs="Arial" w:eastAsia="Arial" w:hAnsi="Arial"/>
          <w:sz w:val="18"/>
          <w:szCs w:val="18"/>
          <w:b w:val="1"/>
          <w:bCs w:val="1"/>
          <w:color w:val="auto"/>
        </w:rPr>
      </w:pPr>
      <w:r>
        <w:rPr>
          <w:rFonts w:ascii="Arial" w:cs="Arial" w:eastAsia="Arial" w:hAnsi="Arial"/>
          <w:sz w:val="18"/>
          <w:szCs w:val="18"/>
          <w:color w:val="auto"/>
        </w:rPr>
        <w:t>We wish to borrow the Loan on the following terms:</w:t>
      </w:r>
    </w:p>
    <w:p>
      <w:pPr>
        <w:spacing w:after="0" w:line="225" w:lineRule="exact"/>
        <w:rPr>
          <w:sz w:val="20"/>
          <w:szCs w:val="20"/>
          <w:color w:val="auto"/>
        </w:rPr>
      </w:pPr>
    </w:p>
    <w:p>
      <w:pPr>
        <w:ind w:left="520"/>
        <w:spacing w:after="0"/>
        <w:tabs>
          <w:tab w:leader="none" w:pos="312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6"/>
          <w:szCs w:val="16"/>
          <w:color w:val="auto"/>
        </w:rPr>
        <w:t>[·] (or, if that is not a Business Day, the next Business Day)</w:t>
      </w:r>
    </w:p>
    <w:p>
      <w:pPr>
        <w:spacing w:after="0" w:line="225" w:lineRule="exact"/>
        <w:rPr>
          <w:sz w:val="20"/>
          <w:szCs w:val="20"/>
          <w:color w:val="auto"/>
        </w:rPr>
      </w:pPr>
    </w:p>
    <w:p>
      <w:pPr>
        <w:ind w:left="520"/>
        <w:spacing w:after="0"/>
        <w:tabs>
          <w:tab w:leader="none" w:pos="326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00" w:hanging="492"/>
        <w:spacing w:after="0"/>
        <w:tabs>
          <w:tab w:leader="none" w:pos="500" w:val="left"/>
        </w:tabs>
        <w:numPr>
          <w:ilvl w:val="0"/>
          <w:numId w:val="599"/>
        </w:numPr>
        <w:rPr>
          <w:rFonts w:ascii="Arial" w:cs="Arial" w:eastAsia="Arial" w:hAnsi="Arial"/>
          <w:sz w:val="17"/>
          <w:szCs w:val="17"/>
          <w:b w:val="1"/>
          <w:bCs w:val="1"/>
          <w:color w:val="auto"/>
        </w:rPr>
      </w:pPr>
      <w:r>
        <w:rPr>
          <w:rFonts w:ascii="Arial" w:cs="Arial" w:eastAsia="Arial" w:hAnsi="Arial"/>
          <w:sz w:val="17"/>
          <w:szCs w:val="17"/>
          <w:color w:val="auto"/>
        </w:rPr>
        <w:t>We confirm that each condition specified in clause 4.4 (</w:t>
      </w:r>
      <w:r>
        <w:rPr>
          <w:rFonts w:ascii="Arial" w:cs="Arial" w:eastAsia="Arial" w:hAnsi="Arial"/>
          <w:sz w:val="17"/>
          <w:szCs w:val="17"/>
          <w:i w:val="1"/>
          <w:iCs w:val="1"/>
          <w:color w:val="auto"/>
        </w:rPr>
        <w:t>Further conditions precedent</w:t>
      </w:r>
      <w:r>
        <w:rPr>
          <w:rFonts w:ascii="Arial" w:cs="Arial" w:eastAsia="Arial" w:hAnsi="Arial"/>
          <w:sz w:val="17"/>
          <w:szCs w:val="17"/>
          <w:color w:val="auto"/>
        </w:rPr>
        <w:t>) is satisfied on the date of this Utilisation Request.</w:t>
      </w:r>
    </w:p>
    <w:p>
      <w:pPr>
        <w:spacing w:after="0" w:line="237" w:lineRule="exact"/>
        <w:rPr>
          <w:sz w:val="20"/>
          <w:szCs w:val="20"/>
          <w:color w:val="auto"/>
        </w:rPr>
      </w:pPr>
    </w:p>
    <w:p>
      <w:pPr>
        <w:ind w:left="520" w:hanging="512"/>
        <w:spacing w:after="0" w:line="277" w:lineRule="auto"/>
        <w:tabs>
          <w:tab w:leader="none" w:pos="509" w:val="left"/>
        </w:tabs>
        <w:numPr>
          <w:ilvl w:val="0"/>
          <w:numId w:val="600"/>
        </w:numPr>
        <w:rPr>
          <w:rFonts w:ascii="Arial" w:cs="Arial" w:eastAsia="Arial" w:hAnsi="Arial"/>
          <w:sz w:val="18"/>
          <w:szCs w:val="18"/>
          <w:b w:val="1"/>
          <w:bCs w:val="1"/>
          <w:color w:val="auto"/>
        </w:rPr>
      </w:pPr>
      <w:r>
        <w:rPr>
          <w:rFonts w:ascii="Arial" w:cs="Arial" w:eastAsia="Arial" w:hAnsi="Arial"/>
          <w:sz w:val="18"/>
          <w:szCs w:val="18"/>
          <w:color w:val="auto"/>
        </w:rPr>
        <w:t>The Loan will be used towards [the refinancing in full of the Existing Indebtedness and, as to any surplus, for general corporate and working capital purposes of the Borrower] and its proceeds should be credited to [·] and [and [·] in respect of [·]]:</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details to be inserted</w:t>
      </w:r>
      <w:r>
        <w:rPr>
          <w:rFonts w:ascii="Arial" w:cs="Arial" w:eastAsia="Arial" w:hAnsi="Arial"/>
          <w:sz w:val="18"/>
          <w:szCs w:val="18"/>
          <w:color w:val="auto"/>
        </w:rPr>
        <w:t>]</w:t>
      </w:r>
    </w:p>
    <w:p>
      <w:pPr>
        <w:spacing w:after="0" w:line="225" w:lineRule="exact"/>
        <w:rPr>
          <w:sz w:val="20"/>
          <w:szCs w:val="20"/>
          <w:color w:val="auto"/>
        </w:rPr>
      </w:pPr>
    </w:p>
    <w:p>
      <w:pPr>
        <w:ind w:left="520" w:right="100" w:hanging="512"/>
        <w:spacing w:after="0" w:line="277" w:lineRule="auto"/>
        <w:tabs>
          <w:tab w:leader="none" w:pos="509" w:val="left"/>
        </w:tabs>
        <w:numPr>
          <w:ilvl w:val="0"/>
          <w:numId w:val="601"/>
        </w:numPr>
        <w:rPr>
          <w:rFonts w:ascii="Arial" w:cs="Arial" w:eastAsia="Arial" w:hAnsi="Arial"/>
          <w:sz w:val="18"/>
          <w:szCs w:val="18"/>
          <w:b w:val="1"/>
          <w:bCs w:val="1"/>
          <w:color w:val="auto"/>
        </w:rPr>
      </w:pPr>
      <w:r>
        <w:rPr>
          <w:rFonts w:ascii="Arial" w:cs="Arial" w:eastAsia="Arial" w:hAnsi="Arial"/>
          <w:sz w:val="18"/>
          <w:szCs w:val="18"/>
          <w:color w:val="auto"/>
        </w:rPr>
        <w:t>We confirm that we will use the proceeds of the Loan for our benefit and under our full responsibility and exclusively for the purposes specified in the Agreement.</w:t>
      </w:r>
    </w:p>
    <w:p>
      <w:pPr>
        <w:spacing w:after="0" w:line="170" w:lineRule="exact"/>
        <w:rPr>
          <w:sz w:val="20"/>
          <w:szCs w:val="20"/>
          <w:color w:val="auto"/>
        </w:rPr>
      </w:pPr>
    </w:p>
    <w:p>
      <w:pPr>
        <w:ind w:left="520" w:right="620" w:hanging="512"/>
        <w:spacing w:after="0" w:line="277" w:lineRule="auto"/>
        <w:tabs>
          <w:tab w:leader="none" w:pos="509" w:val="left"/>
        </w:tabs>
        <w:numPr>
          <w:ilvl w:val="0"/>
          <w:numId w:val="602"/>
        </w:numPr>
        <w:rPr>
          <w:rFonts w:ascii="Arial" w:cs="Arial" w:eastAsia="Arial" w:hAnsi="Arial"/>
          <w:sz w:val="18"/>
          <w:szCs w:val="18"/>
          <w:b w:val="1"/>
          <w:bCs w:val="1"/>
          <w:color w:val="auto"/>
        </w:rPr>
      </w:pPr>
      <w:r>
        <w:rPr>
          <w:rFonts w:ascii="Arial" w:cs="Arial" w:eastAsia="Arial" w:hAnsi="Arial"/>
          <w:sz w:val="18"/>
          <w:szCs w:val="18"/>
          <w:color w:val="auto"/>
        </w:rPr>
        <w:t>We confirm that the Interest Period for the said Loan shall be [three (3)] [six (6)] months [</w:t>
      </w:r>
      <w:r>
        <w:rPr>
          <w:rFonts w:ascii="Arial" w:cs="Arial" w:eastAsia="Arial" w:hAnsi="Arial"/>
          <w:sz w:val="18"/>
          <w:szCs w:val="18"/>
          <w:b w:val="1"/>
          <w:bCs w:val="1"/>
          <w:i w:val="1"/>
          <w:iCs w:val="1"/>
          <w:color w:val="auto"/>
        </w:rPr>
        <w:t>or specify other interest period if agreed with all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right="2700" w:firstLine="8"/>
        <w:spacing w:after="0" w:line="527" w:lineRule="auto"/>
        <w:tabs>
          <w:tab w:leader="none" w:pos="495" w:val="left"/>
        </w:tabs>
        <w:numPr>
          <w:ilvl w:val="0"/>
          <w:numId w:val="603"/>
        </w:numPr>
        <w:rPr>
          <w:rFonts w:ascii="Arial" w:cs="Arial" w:eastAsia="Arial" w:hAnsi="Arial"/>
          <w:sz w:val="18"/>
          <w:szCs w:val="18"/>
          <w:b w:val="1"/>
          <w:bCs w:val="1"/>
          <w:color w:val="auto"/>
        </w:rPr>
      </w:pPr>
      <w:r>
        <w:rPr>
          <w:rFonts w:ascii="Arial" w:cs="Arial" w:eastAsia="Arial" w:hAnsi="Arial"/>
          <w:sz w:val="18"/>
          <w:szCs w:val="18"/>
          <w:color w:val="auto"/>
        </w:rPr>
        <w:t>This Utilisation Request is irrevocable and cannot be varied without the prior consent of the Majority Lenders. Yours faithfully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GAS-FIFTEEN LTD.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402" w:name="page403"/>
    <w:bookmarkEnd w:id="402"/>
    <w:p>
      <w:pPr>
        <w:jc w:val="center"/>
        <w:ind w:right="-39"/>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tab/>
        <w:t>National Bank of Greece S.A. 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GasLog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$97,500,000 Facilities Agreement dated [·] 2020 (the “Agreement”)</w:t>
      </w:r>
    </w:p>
    <w:p>
      <w:pPr>
        <w:spacing w:after="0" w:line="229" w:lineRule="exact"/>
        <w:rPr>
          <w:sz w:val="20"/>
          <w:szCs w:val="20"/>
          <w:color w:val="auto"/>
        </w:rPr>
      </w:pPr>
    </w:p>
    <w:p>
      <w:pPr>
        <w:ind w:left="520" w:right="180" w:hanging="512"/>
        <w:spacing w:after="0" w:line="277" w:lineRule="auto"/>
        <w:tabs>
          <w:tab w:leader="none" w:pos="509" w:val="left"/>
        </w:tabs>
        <w:numPr>
          <w:ilvl w:val="0"/>
          <w:numId w:val="604"/>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w:t>
      </w:r>
      <w:r>
        <w:rPr>
          <w:rFonts w:ascii="Arial" w:cs="Arial" w:eastAsia="Arial" w:hAnsi="Arial"/>
          <w:sz w:val="18"/>
          <w:szCs w:val="18"/>
          <w:color w:val="auto"/>
        </w:rPr>
        <w:t>) of the Agreement have the same meaning when used in this Compliance Certificate unless given a different meaning in this Compliance Certificate.</w:t>
      </w:r>
    </w:p>
    <w:p>
      <w:pPr>
        <w:spacing w:after="0" w:line="170" w:lineRule="exact"/>
        <w:rPr>
          <w:sz w:val="20"/>
          <w:szCs w:val="20"/>
          <w:color w:val="auto"/>
        </w:rPr>
      </w:pPr>
    </w:p>
    <w:p>
      <w:pPr>
        <w:ind w:left="520" w:hanging="512"/>
        <w:spacing w:after="0" w:line="277" w:lineRule="auto"/>
        <w:tabs>
          <w:tab w:leader="none" w:pos="509" w:val="left"/>
        </w:tabs>
        <w:numPr>
          <w:ilvl w:val="0"/>
          <w:numId w:val="605"/>
        </w:numPr>
        <w:rPr>
          <w:rFonts w:ascii="Arial" w:cs="Arial" w:eastAsia="Arial" w:hAnsi="Arial"/>
          <w:sz w:val="18"/>
          <w:szCs w:val="18"/>
          <w:b w:val="1"/>
          <w:bCs w:val="1"/>
          <w:color w:val="auto"/>
        </w:rPr>
      </w:pPr>
      <w:r>
        <w:rPr>
          <w:rFonts w:ascii="Arial" w:cs="Arial" w:eastAsia="Arial" w:hAnsi="Arial"/>
          <w:sz w:val="18"/>
          <w:szCs w:val="18"/>
          <w:color w:val="auto"/>
        </w:rPr>
        <w:t xml:space="preserve">We confirm that by reference to the [Semi-Annual][Annual] Financial Statements for the Group for the financial period ending on [·] attached hereto </w:t>
      </w:r>
      <w:r>
        <w:rPr>
          <w:rFonts w:ascii="Arial" w:cs="Arial" w:eastAsia="Arial" w:hAnsi="Arial"/>
          <w:sz w:val="18"/>
          <w:szCs w:val="18"/>
          <w:b w:val="1"/>
          <w:bCs w:val="1"/>
          <w:i w:val="1"/>
          <w:iCs w:val="1"/>
          <w:color w:val="auto"/>
        </w:rPr>
        <w:t>[report Group, at time of reporting]</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1020" w:right="260" w:hanging="506"/>
        <w:spacing w:after="0" w:line="282" w:lineRule="auto"/>
        <w:tabs>
          <w:tab w:leader="none" w:pos="1021" w:val="left"/>
        </w:tabs>
        <w:numPr>
          <w:ilvl w:val="1"/>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Group Net Worth</w:t>
      </w:r>
      <w:r>
        <w:rPr>
          <w:rFonts w:ascii="Arial" w:cs="Arial" w:eastAsia="Arial" w:hAnsi="Arial"/>
          <w:sz w:val="18"/>
          <w:szCs w:val="18"/>
          <w:color w:val="auto"/>
        </w:rPr>
        <w:t>: our Group Market Adjusted Net Worth is $[·] (being $[·] (Group Total Market Adjusted Assets) less $[·] (Group Total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Indebtedness)) </w:t>
      </w:r>
      <w:r>
        <w:rPr>
          <w:rFonts w:ascii="Arial" w:cs="Arial" w:eastAsia="Arial" w:hAnsi="Arial"/>
          <w:sz w:val="18"/>
          <w:szCs w:val="18"/>
          <w:b w:val="1"/>
          <w:bCs w:val="1"/>
          <w:i w:val="1"/>
          <w:iCs w:val="1"/>
          <w:color w:val="auto"/>
        </w:rPr>
        <w:t>[Requirement being $350,000,000]</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020" w:right="220" w:hanging="506"/>
        <w:spacing w:after="0" w:line="266" w:lineRule="auto"/>
        <w:tabs>
          <w:tab w:leader="none" w:pos="1031" w:val="left"/>
        </w:tabs>
        <w:numPr>
          <w:ilvl w:val="1"/>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Group current ratio</w:t>
      </w:r>
      <w:r>
        <w:rPr>
          <w:rFonts w:ascii="Arial" w:cs="Arial" w:eastAsia="Arial" w:hAnsi="Arial"/>
          <w:sz w:val="18"/>
          <w:szCs w:val="18"/>
          <w:color w:val="auto"/>
        </w:rPr>
        <w:t>: our Group Current Assets (being $[·]) are [not] greater than or equal to Group Current Liabilities, (excluding Group</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Portion of Loans (being $[·])) [Requirement being that Group Current Assets shall be greater than or equal to Group Current Liabilities (excluding the Group Current Portion of Loans)];</w:t>
      </w:r>
    </w:p>
    <w:p>
      <w:pPr>
        <w:spacing w:after="0" w:line="175" w:lineRule="exact"/>
        <w:rPr>
          <w:rFonts w:ascii="Arial" w:cs="Arial" w:eastAsia="Arial" w:hAnsi="Arial"/>
          <w:sz w:val="18"/>
          <w:szCs w:val="18"/>
          <w:b w:val="1"/>
          <w:bCs w:val="1"/>
          <w:color w:val="auto"/>
        </w:rPr>
      </w:pPr>
    </w:p>
    <w:p>
      <w:pPr>
        <w:ind w:left="1020" w:hanging="506"/>
        <w:spacing w:after="0"/>
        <w:tabs>
          <w:tab w:leader="none" w:pos="1020" w:val="left"/>
        </w:tabs>
        <w:numPr>
          <w:ilvl w:val="1"/>
          <w:numId w:val="605"/>
        </w:numPr>
        <w:rPr>
          <w:rFonts w:ascii="Arial" w:cs="Arial" w:eastAsia="Arial" w:hAnsi="Arial"/>
          <w:sz w:val="16"/>
          <w:szCs w:val="16"/>
          <w:b w:val="1"/>
          <w:bCs w:val="1"/>
          <w:color w:val="auto"/>
        </w:rPr>
      </w:pPr>
      <w:r>
        <w:rPr>
          <w:rFonts w:ascii="Arial" w:cs="Arial" w:eastAsia="Arial" w:hAnsi="Arial"/>
          <w:sz w:val="16"/>
          <w:szCs w:val="16"/>
          <w:b w:val="1"/>
          <w:bCs w:val="1"/>
          <w:color w:val="auto"/>
        </w:rPr>
        <w:t>[Group debt service cover</w:t>
      </w:r>
      <w:r>
        <w:rPr>
          <w:rFonts w:ascii="Arial" w:cs="Arial" w:eastAsia="Arial" w:hAnsi="Arial"/>
          <w:sz w:val="16"/>
          <w:szCs w:val="16"/>
          <w:color w:val="auto"/>
        </w:rPr>
        <w:t>: [taking into account that the Group Cash and Cash Equivalents is less than $110,000,000 as shown in paragraph</w:t>
      </w:r>
    </w:p>
    <w:p>
      <w:pPr>
        <w:spacing w:after="0" w:line="50" w:lineRule="exact"/>
        <w:rPr>
          <w:rFonts w:ascii="Arial" w:cs="Arial" w:eastAsia="Arial" w:hAnsi="Arial"/>
          <w:sz w:val="16"/>
          <w:szCs w:val="16"/>
          <w:b w:val="1"/>
          <w:bCs w:val="1"/>
          <w:color w:val="auto"/>
        </w:rPr>
      </w:pPr>
    </w:p>
    <w:p>
      <w:pPr>
        <w:ind w:left="10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 xml:space="preserve">(e) below,] the ratio of EBITDA: Debt Service has been [·] calculated on a four quarter trailing basis (being $[·] EBITDA and $[·] Debt Service) </w:t>
      </w:r>
      <w:r>
        <w:rPr>
          <w:rFonts w:ascii="Arial" w:cs="Arial" w:eastAsia="Arial" w:hAnsi="Arial"/>
          <w:sz w:val="18"/>
          <w:szCs w:val="18"/>
          <w:b w:val="1"/>
          <w:bCs w:val="1"/>
          <w:i w:val="1"/>
          <w:iCs w:val="1"/>
          <w:color w:val="auto"/>
        </w:rPr>
        <w:t>[If applicable, when Group Cash and Cash Equivalents is less than $110,000,000, requirement being that the ratio of EBITDA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Debt Service is not less than 1.10:1 in each 6 month period]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85" w:lineRule="exact"/>
        <w:rPr>
          <w:rFonts w:ascii="Arial" w:cs="Arial" w:eastAsia="Arial" w:hAnsi="Arial"/>
          <w:sz w:val="16"/>
          <w:szCs w:val="16"/>
          <w:b w:val="1"/>
          <w:bCs w:val="1"/>
          <w:color w:val="auto"/>
        </w:rPr>
      </w:pPr>
    </w:p>
    <w:p>
      <w:pPr>
        <w:ind w:left="1020" w:right="840" w:hanging="506"/>
        <w:spacing w:after="0" w:line="282" w:lineRule="auto"/>
        <w:tabs>
          <w:tab w:leader="none" w:pos="1031" w:val="left"/>
        </w:tabs>
        <w:numPr>
          <w:ilvl w:val="1"/>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Group leverage</w:t>
      </w:r>
      <w:r>
        <w:rPr>
          <w:rFonts w:ascii="Arial" w:cs="Arial" w:eastAsia="Arial" w:hAnsi="Arial"/>
          <w:sz w:val="18"/>
          <w:szCs w:val="18"/>
          <w:color w:val="auto"/>
        </w:rPr>
        <w:t>: the Group Maximum Leverage is [·]% (being $[·] Group Total Indebtedness divided by $[·] Group Total Assets)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 Maximum Leverage shall be less than 75%]</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020" w:right="400" w:hanging="506"/>
        <w:spacing w:after="0" w:line="282" w:lineRule="auto"/>
        <w:tabs>
          <w:tab w:leader="none" w:pos="1024" w:val="left"/>
        </w:tabs>
        <w:numPr>
          <w:ilvl w:val="1"/>
          <w:numId w:val="605"/>
        </w:numPr>
        <w:rPr>
          <w:rFonts w:ascii="Arial" w:cs="Arial" w:eastAsia="Arial" w:hAnsi="Arial"/>
          <w:sz w:val="18"/>
          <w:szCs w:val="18"/>
          <w:b w:val="1"/>
          <w:bCs w:val="1"/>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the Group Cash and Cash Equivalents is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 Cash and Cash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Equivalents shall be at least $75,000,000]</w:t>
      </w:r>
      <w:r>
        <w:rPr>
          <w:rFonts w:ascii="Arial" w:cs="Arial" w:eastAsia="Arial" w:hAnsi="Arial"/>
          <w:sz w:val="18"/>
          <w:szCs w:val="18"/>
          <w:color w:val="auto"/>
        </w:rPr>
        <w:t>;</w:t>
      </w:r>
    </w:p>
    <w:p>
      <w:pPr>
        <w:spacing w:after="0" w:line="166" w:lineRule="exact"/>
        <w:rPr>
          <w:sz w:val="20"/>
          <w:szCs w:val="20"/>
          <w:color w:val="auto"/>
        </w:rPr>
      </w:pPr>
    </w:p>
    <w:p>
      <w:pPr>
        <w:ind w:left="500" w:hanging="492"/>
        <w:spacing w:after="0"/>
        <w:tabs>
          <w:tab w:leader="none" w:pos="500" w:val="left"/>
        </w:tabs>
        <w:numPr>
          <w:ilvl w:val="0"/>
          <w:numId w:val="606"/>
        </w:numPr>
        <w:rPr>
          <w:rFonts w:ascii="Arial" w:cs="Arial" w:eastAsia="Arial" w:hAnsi="Arial"/>
          <w:sz w:val="18"/>
          <w:szCs w:val="18"/>
          <w:b w:val="1"/>
          <w:bCs w:val="1"/>
          <w:color w:val="auto"/>
        </w:rPr>
      </w:pPr>
      <w:r>
        <w:rPr>
          <w:rFonts w:ascii="Arial" w:cs="Arial" w:eastAsia="Arial" w:hAnsi="Arial"/>
          <w:sz w:val="18"/>
          <w:szCs w:val="18"/>
          <w:color w:val="auto"/>
        </w:rPr>
        <w:t>In order to demonstrate our confirmations in paragraph 2, we attach:</w:t>
      </w:r>
    </w:p>
    <w:p>
      <w:pPr>
        <w:spacing w:after="0" w:line="225" w:lineRule="exact"/>
        <w:rPr>
          <w:rFonts w:ascii="Arial" w:cs="Arial" w:eastAsia="Arial" w:hAnsi="Arial"/>
          <w:sz w:val="18"/>
          <w:szCs w:val="18"/>
          <w:b w:val="1"/>
          <w:bCs w:val="1"/>
          <w:color w:val="auto"/>
        </w:rPr>
      </w:pPr>
    </w:p>
    <w:p>
      <w:pPr>
        <w:ind w:left="1020" w:right="180" w:hanging="506"/>
        <w:spacing w:after="0" w:line="263" w:lineRule="auto"/>
        <w:tabs>
          <w:tab w:leader="none" w:pos="1011" w:val="left"/>
        </w:tabs>
        <w:numPr>
          <w:ilvl w:val="1"/>
          <w:numId w:val="606"/>
        </w:numPr>
        <w:rPr>
          <w:rFonts w:ascii="Arial" w:cs="Arial" w:eastAsia="Arial" w:hAnsi="Arial"/>
          <w:sz w:val="18"/>
          <w:szCs w:val="18"/>
          <w:color w:val="auto"/>
        </w:rPr>
      </w:pPr>
      <w:r>
        <w:rPr>
          <w:rFonts w:ascii="Arial" w:cs="Arial" w:eastAsia="Arial" w:hAnsi="Arial"/>
          <w:sz w:val="18"/>
          <w:szCs w:val="18"/>
          <w:color w:val="auto"/>
        </w:rPr>
        <w:t>two valuations of all of the Fleet Vessels from [·] and [·], each being Approved Brokers referred to in clause 25.8 (</w:t>
      </w:r>
      <w:r>
        <w:rPr>
          <w:rFonts w:ascii="Arial" w:cs="Arial" w:eastAsia="Arial" w:hAnsi="Arial"/>
          <w:sz w:val="18"/>
          <w:szCs w:val="18"/>
          <w:i w:val="1"/>
          <w:iCs w:val="1"/>
          <w:color w:val="auto"/>
        </w:rPr>
        <w:t>Approved Brokers</w:t>
      </w:r>
      <w:r>
        <w:rPr>
          <w:rFonts w:ascii="Arial" w:cs="Arial" w:eastAsia="Arial" w:hAnsi="Arial"/>
          <w:sz w:val="18"/>
          <w:szCs w:val="18"/>
          <w:color w:val="auto"/>
        </w:rPr>
        <w:t>) of the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Agreement;</w:t>
      </w:r>
    </w:p>
    <w:p>
      <w:pPr>
        <w:spacing w:after="0" w:line="183" w:lineRule="exact"/>
        <w:rPr>
          <w:rFonts w:ascii="Arial" w:cs="Arial" w:eastAsia="Arial" w:hAnsi="Arial"/>
          <w:sz w:val="18"/>
          <w:szCs w:val="18"/>
          <w:color w:val="auto"/>
        </w:rPr>
      </w:pPr>
    </w:p>
    <w:p>
      <w:pPr>
        <w:ind w:left="1020" w:right="300" w:hanging="506"/>
        <w:spacing w:after="0" w:line="277" w:lineRule="auto"/>
        <w:tabs>
          <w:tab w:leader="none" w:pos="1021" w:val="left"/>
        </w:tabs>
        <w:numPr>
          <w:ilvl w:val="1"/>
          <w:numId w:val="606"/>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prepared in accordance with clause 25.4 (</w:t>
      </w:r>
      <w:r>
        <w:rPr>
          <w:rFonts w:ascii="Arial" w:cs="Arial" w:eastAsia="Arial" w:hAnsi="Arial"/>
          <w:sz w:val="18"/>
          <w:szCs w:val="18"/>
          <w:i w:val="1"/>
          <w:iCs w:val="1"/>
          <w:color w:val="auto"/>
        </w:rPr>
        <w:t>Valuations procedure</w:t>
      </w:r>
      <w:r>
        <w:rPr>
          <w:rFonts w:ascii="Arial" w:cs="Arial" w:eastAsia="Arial" w:hAnsi="Arial"/>
          <w:sz w:val="18"/>
          <w:szCs w:val="18"/>
          <w:color w:val="auto"/>
        </w:rPr>
        <w:t>) of the Agreement; [and]</w:t>
      </w:r>
    </w:p>
    <w:p>
      <w:pPr>
        <w:spacing w:after="0" w:line="170" w:lineRule="exact"/>
        <w:rPr>
          <w:rFonts w:ascii="Arial" w:cs="Arial" w:eastAsia="Arial" w:hAnsi="Arial"/>
          <w:sz w:val="18"/>
          <w:szCs w:val="18"/>
          <w:color w:val="auto"/>
        </w:rPr>
      </w:pPr>
    </w:p>
    <w:p>
      <w:pPr>
        <w:ind w:left="1020" w:right="40" w:hanging="506"/>
        <w:spacing w:after="0" w:line="277" w:lineRule="auto"/>
        <w:tabs>
          <w:tab w:leader="none" w:pos="1024" w:val="left"/>
        </w:tabs>
        <w:numPr>
          <w:ilvl w:val="1"/>
          <w:numId w:val="606"/>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3" w:name="page404"/>
    <w:bookmarkEnd w:id="403"/>
    <w:p>
      <w:pPr>
        <w:ind w:left="1020" w:right="260" w:hanging="506"/>
        <w:spacing w:after="0" w:line="277" w:lineRule="auto"/>
        <w:tabs>
          <w:tab w:leader="none" w:pos="1021" w:val="left"/>
        </w:tabs>
        <w:numPr>
          <w:ilvl w:val="0"/>
          <w:numId w:val="607"/>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Group Member reconciled against the [Semi-Annual][Annual] Financial Statements.</w:t>
      </w:r>
    </w:p>
    <w:p>
      <w:pPr>
        <w:spacing w:after="0" w:line="170" w:lineRule="exact"/>
        <w:rPr>
          <w:sz w:val="20"/>
          <w:szCs w:val="20"/>
          <w:color w:val="auto"/>
        </w:rPr>
      </w:pPr>
    </w:p>
    <w:p>
      <w:pPr>
        <w:ind w:left="520" w:right="240" w:hanging="512"/>
        <w:spacing w:after="0" w:line="277" w:lineRule="auto"/>
        <w:tabs>
          <w:tab w:leader="none" w:pos="509" w:val="left"/>
        </w:tabs>
        <w:numPr>
          <w:ilvl w:val="0"/>
          <w:numId w:val="608"/>
        </w:numPr>
        <w:rPr>
          <w:rFonts w:ascii="Arial" w:cs="Arial" w:eastAsia="Arial" w:hAnsi="Arial"/>
          <w:sz w:val="18"/>
          <w:szCs w:val="18"/>
          <w:b w:val="1"/>
          <w:bCs w:val="1"/>
          <w:color w:val="auto"/>
        </w:rPr>
      </w:pPr>
      <w:r>
        <w:rPr>
          <w:rFonts w:ascii="Arial" w:cs="Arial" w:eastAsia="Arial" w:hAnsi="Arial"/>
          <w:sz w:val="18"/>
          <w:szCs w:val="18"/>
          <w:color w:val="auto"/>
        </w:rPr>
        <w:t xml:space="preserve">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 Default that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continuing and the steps, if any, being taken to remedy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Transfer Certificate</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National Bank of Greece S.A. </w:t>
      </w:r>
      <w:r>
        <w:rPr>
          <w:rFonts w:ascii="Arial" w:cs="Arial" w:eastAsia="Arial" w:hAnsi="Arial"/>
          <w:sz w:val="18"/>
          <w:szCs w:val="18"/>
          <w:color w:val="auto"/>
        </w:rPr>
        <w:t>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b w:val="1"/>
          <w:bCs w:val="1"/>
          <w:color w:val="auto"/>
        </w:rPr>
        <w:t>The 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b w:val="1"/>
          <w:bCs w:val="1"/>
          <w:color w:val="auto"/>
        </w:rPr>
        <w:t>The 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$97,500,000 Facility Agreement dated [·] 2020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29" w:lineRule="exact"/>
        <w:rPr>
          <w:sz w:val="20"/>
          <w:szCs w:val="20"/>
          <w:color w:val="auto"/>
        </w:rPr>
      </w:pPr>
    </w:p>
    <w:p>
      <w:pPr>
        <w:ind w:left="520" w:right="20" w:hanging="512"/>
        <w:spacing w:after="0" w:line="277" w:lineRule="auto"/>
        <w:tabs>
          <w:tab w:leader="none" w:pos="509" w:val="left"/>
        </w:tabs>
        <w:numPr>
          <w:ilvl w:val="0"/>
          <w:numId w:val="609"/>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0" w:lineRule="exact"/>
        <w:rPr>
          <w:sz w:val="20"/>
          <w:szCs w:val="20"/>
          <w:color w:val="auto"/>
        </w:rPr>
      </w:pPr>
    </w:p>
    <w:p>
      <w:pPr>
        <w:ind w:left="500" w:hanging="492"/>
        <w:spacing w:after="0"/>
        <w:tabs>
          <w:tab w:leader="none" w:pos="500" w:val="left"/>
        </w:tabs>
        <w:numPr>
          <w:ilvl w:val="0"/>
          <w:numId w:val="610"/>
        </w:numPr>
        <w:rPr>
          <w:rFonts w:ascii="Arial" w:cs="Arial" w:eastAsia="Arial" w:hAnsi="Arial"/>
          <w:sz w:val="18"/>
          <w:szCs w:val="18"/>
          <w:b w:val="1"/>
          <w:bCs w:val="1"/>
          <w:color w:val="auto"/>
        </w:rPr>
      </w:pPr>
      <w:r>
        <w:rPr>
          <w:rFonts w:ascii="Arial" w:cs="Arial" w:eastAsia="Arial" w:hAnsi="Arial"/>
          <w:sz w:val="18"/>
          <w:szCs w:val="18"/>
          <w:color w:val="auto"/>
        </w:rPr>
        <w:t>We refer to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020" w:right="60" w:hanging="506"/>
        <w:spacing w:after="0" w:line="259" w:lineRule="auto"/>
        <w:tabs>
          <w:tab w:leader="none" w:pos="1011"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assigning absolutely to the New Lender all or part of the Existing Lender’s Commitment rights and assuming the Existing Lender’s obligations referred to in the Schedule in accordance with clause 30.5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and the Existing Lender assigns and agrees to assign such rights to the New Lender with effect from the Transfer Date.</w:t>
      </w:r>
    </w:p>
    <w:p>
      <w:pPr>
        <w:spacing w:after="0" w:line="186" w:lineRule="exact"/>
        <w:rPr>
          <w:rFonts w:ascii="Arial" w:cs="Arial" w:eastAsia="Arial" w:hAnsi="Arial"/>
          <w:sz w:val="18"/>
          <w:szCs w:val="18"/>
          <w:color w:val="auto"/>
        </w:rPr>
      </w:pPr>
    </w:p>
    <w:p>
      <w:pPr>
        <w:ind w:left="1020" w:right="360" w:hanging="506"/>
        <w:spacing w:after="0" w:line="277" w:lineRule="auto"/>
        <w:tabs>
          <w:tab w:leader="none" w:pos="1021"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70" w:lineRule="exact"/>
        <w:rPr>
          <w:rFonts w:ascii="Arial" w:cs="Arial" w:eastAsia="Arial" w:hAnsi="Arial"/>
          <w:sz w:val="18"/>
          <w:szCs w:val="18"/>
          <w:color w:val="auto"/>
        </w:rPr>
      </w:pPr>
    </w:p>
    <w:p>
      <w:pPr>
        <w:ind w:left="1020" w:right="300" w:hanging="506"/>
        <w:spacing w:after="0" w:line="277" w:lineRule="auto"/>
        <w:tabs>
          <w:tab w:leader="none" w:pos="1024"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70" w:lineRule="exact"/>
        <w:rPr>
          <w:rFonts w:ascii="Arial" w:cs="Arial" w:eastAsia="Arial" w:hAnsi="Arial"/>
          <w:sz w:val="18"/>
          <w:szCs w:val="18"/>
          <w:color w:val="auto"/>
        </w:rPr>
      </w:pPr>
    </w:p>
    <w:p>
      <w:pPr>
        <w:ind w:left="1020" w:hanging="506"/>
        <w:spacing w:after="0"/>
        <w:tabs>
          <w:tab w:leader="none" w:pos="1020"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25" w:lineRule="exact"/>
        <w:rPr>
          <w:rFonts w:ascii="Arial" w:cs="Arial" w:eastAsia="Arial" w:hAnsi="Arial"/>
          <w:sz w:val="18"/>
          <w:szCs w:val="18"/>
          <w:color w:val="auto"/>
        </w:rPr>
      </w:pPr>
    </w:p>
    <w:p>
      <w:pPr>
        <w:ind w:left="1020" w:right="120" w:hanging="506"/>
        <w:spacing w:after="0" w:line="277" w:lineRule="auto"/>
        <w:tabs>
          <w:tab w:leader="none" w:pos="1024"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of the New Lender for the purposes of clause 37.2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70" w:lineRule="exact"/>
        <w:rPr>
          <w:sz w:val="20"/>
          <w:szCs w:val="20"/>
          <w:color w:val="auto"/>
        </w:rPr>
      </w:pPr>
    </w:p>
    <w:p>
      <w:pPr>
        <w:ind w:left="520" w:hanging="512"/>
        <w:spacing w:after="0" w:line="277" w:lineRule="auto"/>
        <w:tabs>
          <w:tab w:leader="none" w:pos="509" w:val="left"/>
        </w:tabs>
        <w:numPr>
          <w:ilvl w:val="0"/>
          <w:numId w:val="611"/>
        </w:numPr>
        <w:rPr>
          <w:rFonts w:ascii="Arial" w:cs="Arial" w:eastAsia="Arial" w:hAnsi="Arial"/>
          <w:sz w:val="18"/>
          <w:szCs w:val="18"/>
          <w:b w:val="1"/>
          <w:bCs w:val="1"/>
          <w:color w:val="auto"/>
        </w:rPr>
      </w:pPr>
      <w:r>
        <w:rPr>
          <w:rFonts w:ascii="Arial" w:cs="Arial" w:eastAsia="Arial" w:hAnsi="Arial"/>
          <w:sz w:val="18"/>
          <w:szCs w:val="18"/>
          <w:color w:val="auto"/>
        </w:rPr>
        <w:t>The New Lender expressly acknowledges the limitations on the Existing Lender’s obligations set out in sub-clause 30.4(c) of clause 30.4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responsibility of Existing Lenders</w:t>
      </w:r>
      <w:r>
        <w:rPr>
          <w:rFonts w:ascii="Arial" w:cs="Arial" w:eastAsia="Arial" w:hAnsi="Arial"/>
          <w:sz w:val="18"/>
          <w:szCs w:val="18"/>
          <w:color w:val="auto"/>
        </w:rPr>
        <w:t>) of the Agreement.</w:t>
      </w:r>
    </w:p>
    <w:p>
      <w:pPr>
        <w:spacing w:after="0" w:line="170" w:lineRule="exact"/>
        <w:rPr>
          <w:sz w:val="20"/>
          <w:szCs w:val="20"/>
          <w:color w:val="auto"/>
        </w:rPr>
      </w:pPr>
    </w:p>
    <w:p>
      <w:pPr>
        <w:ind w:left="520" w:hanging="512"/>
        <w:spacing w:after="0"/>
        <w:tabs>
          <w:tab w:leader="none" w:pos="520" w:val="left"/>
        </w:tabs>
        <w:numPr>
          <w:ilvl w:val="0"/>
          <w:numId w:val="612"/>
        </w:numPr>
        <w:rPr>
          <w:rFonts w:ascii="Arial" w:cs="Arial" w:eastAsia="Arial" w:hAnsi="Arial"/>
          <w:sz w:val="18"/>
          <w:szCs w:val="18"/>
          <w:b w:val="1"/>
          <w:bCs w:val="1"/>
          <w:color w:val="auto"/>
        </w:rPr>
      </w:pPr>
      <w:r>
        <w:rPr>
          <w:rFonts w:ascii="Arial" w:cs="Arial" w:eastAsia="Arial" w:hAnsi="Arial"/>
          <w:sz w:val="18"/>
          <w:szCs w:val="18"/>
          <w:color w:val="auto"/>
        </w:rPr>
        <w:t>The New Lender confirms that it is [not] a Group Member or an Affiliate of any Group Member.</w:t>
      </w:r>
    </w:p>
    <w:p>
      <w:pPr>
        <w:spacing w:after="0" w:line="225" w:lineRule="exact"/>
        <w:rPr>
          <w:sz w:val="20"/>
          <w:szCs w:val="20"/>
          <w:color w:val="auto"/>
        </w:rPr>
      </w:pPr>
    </w:p>
    <w:p>
      <w:pPr>
        <w:ind w:left="520" w:right="20" w:hanging="512"/>
        <w:spacing w:after="0" w:line="277" w:lineRule="auto"/>
        <w:tabs>
          <w:tab w:leader="none" w:pos="509" w:val="left"/>
        </w:tabs>
        <w:numPr>
          <w:ilvl w:val="0"/>
          <w:numId w:val="613"/>
        </w:numPr>
        <w:rPr>
          <w:rFonts w:ascii="Arial" w:cs="Arial" w:eastAsia="Arial" w:hAnsi="Arial"/>
          <w:sz w:val="18"/>
          <w:szCs w:val="18"/>
          <w:b w:val="1"/>
          <w:bCs w:val="1"/>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0" w:lineRule="exact"/>
        <w:rPr>
          <w:sz w:val="20"/>
          <w:szCs w:val="20"/>
          <w:color w:val="auto"/>
        </w:rPr>
      </w:pPr>
    </w:p>
    <w:p>
      <w:pPr>
        <w:ind w:left="520" w:right="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Consider including reference to accession to an intercreditor agreement, mortgage or other Finance Documents to which Lenders may need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be party and checklist of steps necessary for the New Lender to obtain the benefit of the Security Documents</w:t>
      </w:r>
      <w:r>
        <w:rPr>
          <w:rFonts w:ascii="Arial" w:cs="Arial" w:eastAsia="Arial" w:hAnsi="Arial"/>
          <w:sz w:val="17"/>
          <w:szCs w:val="17"/>
          <w:color w:val="auto"/>
        </w:rPr>
        <w:t>.]</w:t>
      </w:r>
    </w:p>
    <w:p>
      <w:pPr>
        <w:spacing w:after="0" w:line="146" w:lineRule="exact"/>
        <w:rPr>
          <w:sz w:val="20"/>
          <w:szCs w:val="20"/>
          <w:color w:val="auto"/>
        </w:rPr>
      </w:pPr>
    </w:p>
    <w:p>
      <w:pPr>
        <w:ind w:left="500" w:hanging="492"/>
        <w:spacing w:after="0"/>
        <w:tabs>
          <w:tab w:leader="none" w:pos="500" w:val="left"/>
        </w:tabs>
        <w:numPr>
          <w:ilvl w:val="0"/>
          <w:numId w:val="614"/>
        </w:numPr>
        <w:rPr>
          <w:rFonts w:ascii="Arial" w:cs="Arial" w:eastAsia="Arial" w:hAnsi="Arial"/>
          <w:sz w:val="18"/>
          <w:szCs w:val="18"/>
          <w:b w:val="1"/>
          <w:bCs w:val="1"/>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25" w:lineRule="exact"/>
        <w:rPr>
          <w:sz w:val="20"/>
          <w:szCs w:val="20"/>
          <w:color w:val="auto"/>
        </w:rPr>
      </w:pPr>
    </w:p>
    <w:p>
      <w:pPr>
        <w:ind w:left="5480" w:right="2880" w:hanging="5472"/>
        <w:spacing w:after="0" w:line="527" w:lineRule="auto"/>
        <w:tabs>
          <w:tab w:leader="none" w:pos="494" w:val="left"/>
        </w:tabs>
        <w:numPr>
          <w:ilvl w:val="0"/>
          <w:numId w:val="615"/>
        </w:numPr>
        <w:rPr>
          <w:rFonts w:ascii="Arial" w:cs="Arial" w:eastAsia="Arial" w:hAnsi="Arial"/>
          <w:sz w:val="18"/>
          <w:szCs w:val="18"/>
          <w:b w:val="1"/>
          <w:bCs w:val="1"/>
          <w:color w:val="auto"/>
        </w:rPr>
      </w:pPr>
      <w:r>
        <w:rPr>
          <w:rFonts w:ascii="Arial" w:cs="Arial" w:eastAsia="Arial" w:hAnsi="Arial"/>
          <w:sz w:val="18"/>
          <w:szCs w:val="18"/>
          <w:color w:val="auto"/>
        </w:rPr>
        <w:t>This Transfer Certificate has been entered into on the date stated at the beginning of this Transfer Certificate.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4" w:name="page405"/>
    <w:bookmarkEnd w:id="404"/>
    <w:p>
      <w:pPr>
        <w:spacing w:after="0" w:line="258"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bookmarkStart w:id="405" w:name="page406"/>
    <w:bookmarkEnd w:id="405"/>
    <w:p>
      <w:pPr>
        <w:jc w:val="center"/>
        <w:ind w:right="-29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Rights to be assigned and obligations to be released and undertaken</w:t>
      </w: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[Facility Office address and attention details for notices and account details for payments.]</w:t>
      </w:r>
    </w:p>
    <w:p>
      <w:pPr>
        <w:sectPr>
          <w:pgSz w:w="11900" w:h="16838" w:orient="portrait"/>
          <w:cols w:equalWidth="0" w:num="1">
            <w:col w:w="10940"/>
          </w:cols>
          <w:pgMar w:left="320" w:top="337" w:right="6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Lender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Lender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ectPr>
          <w:pgSz w:w="11900" w:h="16838" w:orient="portrait"/>
          <w:cols w:equalWidth="0" w:num="2">
            <w:col w:w="1320" w:space="720"/>
            <w:col w:w="8900"/>
          </w:cols>
          <w:pgMar w:left="320" w:top="337" w:right="6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This Transfer Certificate is accepted by the Agent as a Transfer Certificate and the Transfer Date is confirmed as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National Bank of Greece S.A. </w:t>
      </w:r>
      <w:r>
        <w:rPr>
          <w:rFonts w:ascii="Arial" w:cs="Arial" w:eastAsia="Arial" w:hAnsi="Arial"/>
          <w:sz w:val="18"/>
          <w:szCs w:val="18"/>
          <w:color w:val="auto"/>
        </w:rPr>
        <w:t>as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type w:val="continuous"/>
        </w:sectPr>
      </w:pPr>
    </w:p>
    <w:bookmarkStart w:id="406" w:name="page407"/>
    <w:bookmarkEnd w:id="406"/>
    <w:p>
      <w:pPr>
        <w:jc w:val="center"/>
        <w:ind w:right="40"/>
        <w:spacing w:after="0"/>
        <w:rPr>
          <w:sz w:val="20"/>
          <w:szCs w:val="20"/>
          <w:color w:val="auto"/>
        </w:rPr>
      </w:pPr>
      <w:r>
        <w:rPr>
          <w:rFonts w:ascii="Arial" w:cs="Arial" w:eastAsia="Arial" w:hAnsi="Arial"/>
          <w:sz w:val="18"/>
          <w:szCs w:val="18"/>
          <w:b w:val="1"/>
          <w:bCs w:val="1"/>
          <w:color w:val="auto"/>
        </w:rPr>
        <w:t>Schedule 7</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Repayment Schedule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[To be confirmed prior to draw down]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Repayment Date</w:t>
            </w: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 ($)</w:t>
            </w:r>
          </w:p>
        </w:tc>
        <w:tc>
          <w:tcPr>
            <w:tcW w:w="1780" w:type="dxa"/>
            <w:vAlign w:val="bottom"/>
          </w:tcPr>
          <w:p>
            <w:pPr>
              <w:spacing w:after="0"/>
              <w:rPr>
                <w:sz w:val="14"/>
                <w:szCs w:val="14"/>
                <w:color w:val="auto"/>
              </w:rPr>
            </w:pPr>
          </w:p>
        </w:tc>
      </w:tr>
      <w:tr>
        <w:trPr>
          <w:trHeight w:val="209"/>
        </w:trPr>
        <w:tc>
          <w:tcPr>
            <w:tcW w:w="130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jc w:val="center"/>
              <w:ind w:left="2591"/>
              <w:spacing w:after="0"/>
              <w:rPr>
                <w:sz w:val="20"/>
                <w:szCs w:val="20"/>
                <w:color w:val="auto"/>
              </w:rPr>
            </w:pPr>
            <w:r>
              <w:rPr>
                <w:rFonts w:ascii="Arial" w:cs="Arial" w:eastAsia="Arial" w:hAnsi="Arial"/>
                <w:sz w:val="18"/>
                <w:szCs w:val="18"/>
                <w:color w:val="auto"/>
                <w:w w:val="83"/>
              </w:rPr>
              <w:t>1st</w:t>
            </w:r>
          </w:p>
        </w:tc>
        <w:tc>
          <w:tcPr>
            <w:tcW w:w="2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1,905,000</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3"/>
              </w:rPr>
              <w:t>2nd</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2"/>
              </w:rPr>
              <w:t>3rd</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5"/>
              </w:rPr>
              <w:t>4th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5"/>
              </w:rPr>
              <w:t>5th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5"/>
              </w:rPr>
              <w:t>6th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5"/>
              </w:rPr>
              <w:t>7th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5"/>
              </w:rPr>
              <w:t>8th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5"/>
              </w:rPr>
              <w:t>9th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10th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1"/>
              </w:rPr>
              <w:t>11th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12th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1"/>
              </w:rPr>
              <w:t>13th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14th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1"/>
              </w:rPr>
              <w:t>15th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16th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1"/>
              </w:rPr>
              <w:t>17th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18th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800" w:type="dxa"/>
            <w:vAlign w:val="bottom"/>
            <w:shd w:val="clear" w:color="auto" w:fill="CCEEFF"/>
          </w:tcPr>
          <w:p>
            <w:pPr>
              <w:jc w:val="center"/>
              <w:ind w:left="2591"/>
              <w:spacing w:after="0"/>
              <w:rPr>
                <w:sz w:val="20"/>
                <w:szCs w:val="20"/>
                <w:color w:val="auto"/>
              </w:rPr>
            </w:pPr>
            <w:r>
              <w:rPr>
                <w:rFonts w:ascii="Arial" w:cs="Arial" w:eastAsia="Arial" w:hAnsi="Arial"/>
                <w:sz w:val="18"/>
                <w:szCs w:val="18"/>
                <w:color w:val="auto"/>
                <w:w w:val="91"/>
              </w:rPr>
              <w:t>19th</w:t>
            </w:r>
          </w:p>
        </w:tc>
        <w:tc>
          <w:tcPr>
            <w:tcW w:w="4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1,905,000</w:t>
            </w:r>
          </w:p>
        </w:tc>
        <w:tc>
          <w:tcPr>
            <w:tcW w:w="17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800" w:type="dxa"/>
            <w:vAlign w:val="bottom"/>
          </w:tcPr>
          <w:p>
            <w:pPr>
              <w:jc w:val="center"/>
              <w:ind w:left="2591"/>
              <w:spacing w:after="0"/>
              <w:rPr>
                <w:sz w:val="20"/>
                <w:szCs w:val="20"/>
                <w:color w:val="auto"/>
              </w:rPr>
            </w:pPr>
            <w:r>
              <w:rPr>
                <w:rFonts w:ascii="Arial" w:cs="Arial" w:eastAsia="Arial" w:hAnsi="Arial"/>
                <w:sz w:val="18"/>
                <w:szCs w:val="18"/>
                <w:color w:val="auto"/>
                <w:w w:val="91"/>
              </w:rPr>
              <w:t>20th</w:t>
            </w:r>
          </w:p>
        </w:tc>
        <w:tc>
          <w:tcPr>
            <w:tcW w:w="4400" w:type="dxa"/>
            <w:vAlign w:val="bottom"/>
            <w:gridSpan w:val="4"/>
          </w:tcPr>
          <w:p>
            <w:pPr>
              <w:jc w:val="right"/>
              <w:ind w:right="100"/>
              <w:spacing w:after="0"/>
              <w:rPr>
                <w:sz w:val="20"/>
                <w:szCs w:val="20"/>
                <w:color w:val="auto"/>
              </w:rPr>
            </w:pPr>
            <w:r>
              <w:rPr>
                <w:rFonts w:ascii="Arial" w:cs="Arial" w:eastAsia="Arial" w:hAnsi="Arial"/>
                <w:sz w:val="18"/>
                <w:szCs w:val="18"/>
                <w:color w:val="auto"/>
              </w:rPr>
              <w:t>61,305,000</w:t>
            </w:r>
          </w:p>
        </w:tc>
        <w:tc>
          <w:tcPr>
            <w:tcW w:w="178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80" w:type="dxa"/>
            <w:vAlign w:val="bottom"/>
          </w:tcPr>
          <w:p>
            <w:pPr>
              <w:jc w:val="right"/>
              <w:ind w:right="193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220" w:type="dxa"/>
            <w:vAlign w:val="bottom"/>
            <w:gridSpan w:val="4"/>
          </w:tcPr>
          <w:p>
            <w:pPr>
              <w:jc w:val="center"/>
              <w:ind w:right="3930"/>
              <w:spacing w:after="0"/>
              <w:rPr>
                <w:sz w:val="20"/>
                <w:szCs w:val="20"/>
                <w:color w:val="auto"/>
              </w:rPr>
            </w:pPr>
            <w:r>
              <w:rPr>
                <w:rFonts w:ascii="Arial" w:cs="Arial" w:eastAsia="Arial" w:hAnsi="Arial"/>
                <w:sz w:val="18"/>
                <w:szCs w:val="18"/>
                <w:b w:val="1"/>
                <w:bCs w:val="1"/>
                <w:color w:val="auto"/>
                <w:w w:val="98"/>
              </w:rPr>
              <w:t>SIGNATURES</w:t>
            </w:r>
          </w:p>
        </w:tc>
        <w:tc>
          <w:tcPr>
            <w:tcW w:w="40" w:type="dxa"/>
            <w:vAlign w:val="bottom"/>
          </w:tcPr>
          <w:p>
            <w:pPr>
              <w:spacing w:after="0"/>
              <w:rPr>
                <w:sz w:val="20"/>
                <w:szCs w:val="20"/>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THE BORROWER</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GAS-FIFTEEN LTD.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Dimitrios Panagopoulos</w:t>
            </w:r>
          </w:p>
        </w:tc>
        <w:tc>
          <w:tcPr>
            <w:tcW w:w="40" w:type="dxa"/>
            <w:vAlign w:val="bottom"/>
          </w:tcPr>
          <w:p>
            <w:pPr>
              <w:spacing w:after="0"/>
              <w:rPr>
                <w:sz w:val="24"/>
                <w:szCs w:val="24"/>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THE GUARANTORS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for and on behalf of</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Dimitrios Panagopoulos</w:t>
            </w:r>
          </w:p>
        </w:tc>
        <w:tc>
          <w:tcPr>
            <w:tcW w:w="40" w:type="dxa"/>
            <w:vAlign w:val="bottom"/>
          </w:tcPr>
          <w:p>
            <w:pPr>
              <w:spacing w:after="0"/>
              <w:rPr>
                <w:sz w:val="20"/>
                <w:szCs w:val="20"/>
                <w:color w:val="auto"/>
              </w:rPr>
            </w:pP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b w:val="1"/>
                <w:bCs w:val="1"/>
                <w:color w:val="auto"/>
              </w:rPr>
              <w:t>GASLOG LTD.</w:t>
            </w:r>
          </w:p>
        </w:tc>
        <w:tc>
          <w:tcPr>
            <w:tcW w:w="14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as Parent and Guarantor</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 the presence of:</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Niki Alexandrou</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color w:val="auto"/>
              </w:rPr>
              <w:t>Witness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Name: Niki Alexandrou</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Address: Norton Rose Fulbright Greece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Occupation: Solicitor</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for and on behalf of</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GASLOG CARRIERS LTD.</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Dimitrios Panagopoulos</w:t>
            </w:r>
          </w:p>
        </w:tc>
        <w:tc>
          <w:tcPr>
            <w:tcW w:w="40" w:type="dxa"/>
            <w:vAlign w:val="bottom"/>
          </w:tcPr>
          <w:p>
            <w:pPr>
              <w:spacing w:after="0"/>
              <w:rPr>
                <w:sz w:val="20"/>
                <w:szCs w:val="20"/>
                <w:color w:val="auto"/>
              </w:rPr>
            </w:pP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color w:val="auto"/>
              </w:rPr>
              <w:t>as Guarantor</w:t>
            </w:r>
          </w:p>
        </w:tc>
        <w:tc>
          <w:tcPr>
            <w:tcW w:w="14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 the presence of:</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Niki Alexandrou</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color w:val="auto"/>
              </w:rPr>
              <w:t>Witness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Name: Niki Alexandrou</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Address: Norton Rose Fulbright Greece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Occupation: Solicitor</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THE ARRANGER</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Vraka Olga</w:t>
            </w:r>
          </w:p>
        </w:tc>
        <w:tc>
          <w:tcPr>
            <w:tcW w:w="40" w:type="dxa"/>
            <w:vAlign w:val="bottom"/>
          </w:tcPr>
          <w:p>
            <w:pPr>
              <w:spacing w:after="0"/>
              <w:rPr>
                <w:sz w:val="24"/>
                <w:szCs w:val="24"/>
                <w:color w:val="auto"/>
              </w:rPr>
            </w:pPr>
          </w:p>
        </w:tc>
      </w:tr>
      <w:tr>
        <w:trPr>
          <w:trHeight w:val="195"/>
        </w:trPr>
        <w:tc>
          <w:tcPr>
            <w:tcW w:w="402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4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THE ORIGINAL LENDERS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Vraka Olga</w:t>
            </w:r>
          </w:p>
        </w:tc>
        <w:tc>
          <w:tcPr>
            <w:tcW w:w="40" w:type="dxa"/>
            <w:vAlign w:val="bottom"/>
          </w:tcPr>
          <w:p>
            <w:pPr>
              <w:spacing w:after="0"/>
              <w:rPr>
                <w:sz w:val="24"/>
                <w:szCs w:val="24"/>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020" w:type="dxa"/>
            <w:vAlign w:val="bottom"/>
          </w:tcPr>
          <w:p>
            <w:pPr>
              <w:spacing w:after="0"/>
              <w:rPr>
                <w:sz w:val="20"/>
                <w:szCs w:val="20"/>
                <w:color w:val="auto"/>
              </w:rPr>
            </w:pPr>
            <w:r>
              <w:rPr>
                <w:rFonts w:ascii="Arial" w:cs="Arial" w:eastAsia="Arial" w:hAnsi="Arial"/>
                <w:sz w:val="18"/>
                <w:szCs w:val="18"/>
                <w:b w:val="1"/>
                <w:bCs w:val="1"/>
                <w:color w:val="auto"/>
              </w:rPr>
              <w:t>THE AGENT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Vraka Olga</w:t>
            </w:r>
          </w:p>
        </w:tc>
        <w:tc>
          <w:tcPr>
            <w:tcW w:w="40" w:type="dxa"/>
            <w:vAlign w:val="bottom"/>
          </w:tcPr>
          <w:p>
            <w:pPr>
              <w:spacing w:after="0"/>
              <w:rPr>
                <w:sz w:val="24"/>
                <w:szCs w:val="24"/>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By:</w:t>
            </w:r>
          </w:p>
        </w:tc>
        <w:tc>
          <w:tcPr>
            <w:tcW w:w="1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
          </w:tcPr>
          <w:p>
            <w:pPr>
              <w:jc w:val="right"/>
              <w:ind w:right="5390"/>
              <w:spacing w:after="0"/>
              <w:rPr>
                <w:sz w:val="20"/>
                <w:szCs w:val="20"/>
                <w:color w:val="auto"/>
              </w:rPr>
            </w:pPr>
            <w:r>
              <w:rPr>
                <w:rFonts w:ascii="Arial" w:cs="Arial" w:eastAsia="Arial" w:hAnsi="Arial"/>
                <w:sz w:val="18"/>
                <w:szCs w:val="18"/>
                <w:color w:val="auto"/>
                <w:w w:val="93"/>
              </w:rPr>
              <w:t>156</w:t>
            </w:r>
          </w:p>
        </w:tc>
        <w:tc>
          <w:tcPr>
            <w:tcW w:w="40" w:type="dxa"/>
            <w:vAlign w:val="bottom"/>
          </w:tcPr>
          <w:p>
            <w:pPr>
              <w:spacing w:after="0"/>
              <w:rPr>
                <w:sz w:val="24"/>
                <w:szCs w:val="24"/>
                <w:color w:val="auto"/>
              </w:rPr>
            </w:pPr>
          </w:p>
        </w:tc>
      </w:tr>
      <w:tr>
        <w:trPr>
          <w:trHeight w:val="132"/>
        </w:trPr>
        <w:tc>
          <w:tcPr>
            <w:tcW w:w="40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THE SECURITY AGENT</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Vraka Olga</w:t>
            </w:r>
          </w:p>
        </w:tc>
        <w:tc>
          <w:tcPr>
            <w:tcW w:w="40" w:type="dxa"/>
            <w:vAlign w:val="bottom"/>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b w:val="1"/>
                <w:bCs w:val="1"/>
                <w:color w:val="auto"/>
              </w:rPr>
              <w:t>THE HEDGING PROVIDERS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b w:val="1"/>
                <w:bCs w:val="1"/>
                <w:color w:val="auto"/>
              </w:rPr>
              <w:t>NATIONAL BANK OF GREECE S.A.</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Vraka Olga</w:t>
            </w:r>
          </w:p>
        </w:tc>
        <w:tc>
          <w:tcPr>
            <w:tcW w:w="40" w:type="dxa"/>
            <w:vAlign w:val="bottom"/>
          </w:tcPr>
          <w:p>
            <w:pPr>
              <w:spacing w:after="0"/>
              <w:rPr>
                <w:sz w:val="24"/>
                <w:szCs w:val="24"/>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By:</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Authorised signatory</w:t>
            </w:r>
          </w:p>
        </w:tc>
        <w:tc>
          <w:tcPr>
            <w:tcW w:w="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80" w:type="dxa"/>
            <w:vAlign w:val="bottom"/>
            <w:gridSpan w:val="2"/>
          </w:tcPr>
          <w:p>
            <w:pPr>
              <w:jc w:val="right"/>
              <w:ind w:right="5390"/>
              <w:spacing w:after="0"/>
              <w:rPr>
                <w:sz w:val="20"/>
                <w:szCs w:val="20"/>
                <w:color w:val="auto"/>
              </w:rPr>
            </w:pPr>
            <w:r>
              <w:rPr>
                <w:rFonts w:ascii="Arial" w:cs="Arial" w:eastAsia="Arial" w:hAnsi="Arial"/>
                <w:sz w:val="18"/>
                <w:szCs w:val="18"/>
                <w:color w:val="auto"/>
                <w:w w:val="93"/>
              </w:rPr>
              <w:t>157</w:t>
            </w:r>
          </w:p>
        </w:tc>
        <w:tc>
          <w:tcPr>
            <w:tcW w:w="40" w:type="dxa"/>
            <w:vAlign w:val="bottom"/>
          </w:tcPr>
          <w:p>
            <w:pPr>
              <w:spacing w:after="0"/>
              <w:rPr>
                <w:sz w:val="24"/>
                <w:szCs w:val="24"/>
                <w:color w:val="auto"/>
              </w:rPr>
            </w:pPr>
          </w:p>
        </w:tc>
      </w:tr>
      <w:tr>
        <w:trPr>
          <w:trHeight w:val="132"/>
        </w:trPr>
        <w:tc>
          <w:tcPr>
            <w:tcW w:w="41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09" w:name="page410"/>
    <w:bookmarkEnd w:id="409"/>
    <w:p>
      <w:pPr>
        <w:spacing w:after="0"/>
        <w:rPr>
          <w:rFonts w:ascii="Arial" w:cs="Arial" w:eastAsia="Arial" w:hAnsi="Arial"/>
          <w:sz w:val="22"/>
          <w:szCs w:val="22"/>
          <w:color w:val="0000EE"/>
        </w:rPr>
      </w:pPr>
      <w:hyperlink w:anchor="page4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SUBSIDIARIES OF GASLOG LTD.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Ltd.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4"/>
              </w:rPr>
              <w:t>Proportion of</w:t>
            </w:r>
          </w:p>
        </w:tc>
      </w:tr>
      <w:tr>
        <w:trPr>
          <w:trHeight w:val="148"/>
        </w:trPr>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60" w:type="dxa"/>
            <w:vAlign w:val="bottom"/>
          </w:tcPr>
          <w:p>
            <w:pPr>
              <w:spacing w:after="0"/>
              <w:rPr>
                <w:sz w:val="12"/>
                <w:szCs w:val="12"/>
                <w:color w:val="auto"/>
              </w:rPr>
            </w:pPr>
          </w:p>
        </w:tc>
        <w:tc>
          <w:tcPr>
            <w:tcW w:w="226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95"/>
              </w:rPr>
              <w:t>Ownership</w:t>
            </w:r>
          </w:p>
        </w:tc>
      </w:tr>
      <w:tr>
        <w:trPr>
          <w:trHeight w:val="161"/>
        </w:trPr>
        <w:tc>
          <w:tcPr>
            <w:tcW w:w="112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Name of Subsidiary</w:t>
            </w:r>
          </w:p>
        </w:tc>
        <w:tc>
          <w:tcPr>
            <w:tcW w:w="50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130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Investments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BVI</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Monaco S.A.M.</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LNG Services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Carriers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Shipping Company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Services US Inc.</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Delaware, U.S.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Services UK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England and Wales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Asia Pte.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Singapore</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Cyprus Investments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Cyprus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GAS-one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GAS-two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GAS-six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GAS-nine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GAS-fifteen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GAS-eighteen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two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GAS-twenty three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four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GAS-twenty five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six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GAS-twenty eight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nine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GAS-thirty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GAS-thirty two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three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GAS-thirty four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five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GAS-thirty six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seven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Hellas-1 SME</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Greece</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GAS-Two Panama S.A.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Panama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Partners GP LLC</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Marshall Islands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Partners LP</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Marshall Islands</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GasLog Partners Holdings LLC</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Marshall Islands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GAS-three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GAS-four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GAS-five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GAS-seven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GAS-eight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GAS-eleven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GAS-twelve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GAS-thirteen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GAS-fourteen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GAS-sixteen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GAS-seventeen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GAS-nineteen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Arial" w:cs="Arial" w:eastAsia="Arial" w:hAnsi="Arial"/>
                <w:sz w:val="18"/>
                <w:szCs w:val="18"/>
                <w:color w:val="auto"/>
              </w:rPr>
              <w:t>GAS-twenty one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seven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0" w:name="page411"/>
    <w:bookmarkEnd w:id="4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0">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0">
        <w:r>
          <w:rPr>
            <w:rFonts w:ascii="Arial" w:cs="Arial" w:eastAsia="Arial" w:hAnsi="Arial"/>
            <w:sz w:val="16"/>
            <w:szCs w:val="16"/>
            <w:u w:val="single" w:color="auto"/>
            <w:color w:val="0000EE"/>
          </w:rPr>
          <w:t>SUBSIDIARIES OF GASLOG LTD.</w:t>
        </w:r>
      </w:hyperlink>
    </w:p>
    <w:p>
      <w:pPr>
        <w:sectPr>
          <w:pgSz w:w="11900" w:h="16838" w:orient="portrait"/>
          <w:cols w:equalWidth="0" w:num="1">
            <w:col w:w="10139"/>
          </w:cols>
          <w:pgMar w:left="320" w:top="820" w:right="1440" w:bottom="1440" w:gutter="0" w:footer="0" w:header="0"/>
        </w:sectPr>
      </w:pPr>
    </w:p>
    <w:bookmarkStart w:id="411" w:name="page412"/>
    <w:bookmarkEnd w:id="411"/>
    <w:p>
      <w:pPr>
        <w:spacing w:after="0"/>
        <w:rPr>
          <w:rFonts w:ascii="Arial" w:cs="Arial" w:eastAsia="Arial" w:hAnsi="Arial"/>
          <w:sz w:val="22"/>
          <w:szCs w:val="22"/>
          <w:color w:val="0000EE"/>
        </w:rPr>
      </w:pPr>
      <w:hyperlink w:anchor="page4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45" w:lineRule="exact"/>
        <w:rPr>
          <w:sz w:val="20"/>
          <w:szCs w:val="20"/>
          <w:color w:val="auto"/>
        </w:rPr>
      </w:pPr>
    </w:p>
    <w:p>
      <w:pPr>
        <w:ind w:left="540" w:hanging="532"/>
        <w:spacing w:after="0"/>
        <w:tabs>
          <w:tab w:leader="none" w:pos="54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jc w:val="both"/>
        <w:ind w:left="540" w:right="440" w:hanging="532"/>
        <w:spacing w:after="0" w:line="259" w:lineRule="auto"/>
        <w:tabs>
          <w:tab w:leader="none" w:pos="54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540" w:right="400" w:hanging="532"/>
        <w:spacing w:after="0" w:line="331" w:lineRule="auto"/>
        <w:tabs>
          <w:tab w:leader="none" w:pos="54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160" w:hanging="532"/>
        <w:spacing w:after="0" w:line="259" w:lineRule="auto"/>
        <w:tabs>
          <w:tab w:leader="none" w:pos="108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60" w:hanging="532"/>
        <w:spacing w:after="0" w:line="259" w:lineRule="auto"/>
        <w:tabs>
          <w:tab w:leader="none" w:pos="108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620" w:hanging="532"/>
        <w:spacing w:after="0" w:line="369" w:lineRule="auto"/>
        <w:tabs>
          <w:tab w:leader="none" w:pos="1080" w:val="left"/>
        </w:tabs>
        <w:numPr>
          <w:ilvl w:val="1"/>
          <w:numId w:val="61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jc w:val="both"/>
        <w:ind w:left="1080" w:right="220" w:hanging="532"/>
        <w:spacing w:after="0" w:line="259" w:lineRule="auto"/>
        <w:tabs>
          <w:tab w:leader="none" w:pos="108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20" w:hanging="532"/>
        <w:spacing w:after="0" w:line="331" w:lineRule="auto"/>
        <w:tabs>
          <w:tab w:leader="none" w:pos="540" w:val="left"/>
        </w:tabs>
        <w:numPr>
          <w:ilvl w:val="0"/>
          <w:numId w:val="61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60" w:hanging="532"/>
        <w:spacing w:after="0" w:line="331" w:lineRule="auto"/>
        <w:tabs>
          <w:tab w:leader="none" w:pos="1080" w:val="left"/>
        </w:tabs>
        <w:numPr>
          <w:ilvl w:val="1"/>
          <w:numId w:val="6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2021</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62230</wp:posOffset>
            </wp:positionV>
            <wp:extent cx="26403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78"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Name:</w:t>
        <w:tab/>
        <w:t>Paul A. Wogan</w:t>
      </w:r>
    </w:p>
    <w:p>
      <w:pPr>
        <w:spacing w:after="0" w:line="15"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12" w:name="page413"/>
    <w:bookmarkEnd w:id="41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2">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2">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139"/>
          </w:cols>
          <w:pgMar w:left="320" w:top="820" w:right="1440" w:bottom="1440" w:gutter="0" w:footer="0" w:header="0"/>
        </w:sectPr>
      </w:pPr>
    </w:p>
    <w:bookmarkStart w:id="413" w:name="page414"/>
    <w:bookmarkEnd w:id="413"/>
    <w:p>
      <w:pPr>
        <w:spacing w:after="0"/>
        <w:rPr>
          <w:rFonts w:ascii="Arial" w:cs="Arial" w:eastAsia="Arial" w:hAnsi="Arial"/>
          <w:sz w:val="22"/>
          <w:szCs w:val="22"/>
          <w:color w:val="0000EE"/>
        </w:rPr>
      </w:pPr>
      <w:hyperlink w:anchor="page4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Achilleas Tasioulas, certify that:</w:t>
      </w:r>
    </w:p>
    <w:p>
      <w:pPr>
        <w:spacing w:after="0" w:line="245" w:lineRule="exact"/>
        <w:rPr>
          <w:sz w:val="20"/>
          <w:szCs w:val="20"/>
          <w:color w:val="auto"/>
        </w:rPr>
      </w:pPr>
    </w:p>
    <w:p>
      <w:pPr>
        <w:ind w:left="540" w:hanging="532"/>
        <w:spacing w:after="0"/>
        <w:tabs>
          <w:tab w:leader="none" w:pos="5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jc w:val="both"/>
        <w:ind w:left="540" w:right="440" w:hanging="532"/>
        <w:spacing w:after="0" w:line="259" w:lineRule="auto"/>
        <w:tabs>
          <w:tab w:leader="none" w:pos="5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540" w:right="400" w:hanging="532"/>
        <w:spacing w:after="0" w:line="331" w:lineRule="auto"/>
        <w:tabs>
          <w:tab w:leader="none" w:pos="54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160" w:hanging="532"/>
        <w:spacing w:after="0" w:line="259" w:lineRule="auto"/>
        <w:tabs>
          <w:tab w:leader="none" w:pos="10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60" w:hanging="532"/>
        <w:spacing w:after="0" w:line="259" w:lineRule="auto"/>
        <w:tabs>
          <w:tab w:leader="none" w:pos="10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620" w:hanging="532"/>
        <w:spacing w:after="0" w:line="369" w:lineRule="auto"/>
        <w:tabs>
          <w:tab w:leader="none" w:pos="1080" w:val="left"/>
        </w:tabs>
        <w:numPr>
          <w:ilvl w:val="1"/>
          <w:numId w:val="617"/>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jc w:val="both"/>
        <w:ind w:left="1080" w:right="220" w:hanging="532"/>
        <w:spacing w:after="0" w:line="259" w:lineRule="auto"/>
        <w:tabs>
          <w:tab w:leader="none" w:pos="10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20" w:hanging="532"/>
        <w:spacing w:after="0" w:line="331" w:lineRule="auto"/>
        <w:tabs>
          <w:tab w:leader="none" w:pos="540" w:val="left"/>
        </w:tabs>
        <w:numPr>
          <w:ilvl w:val="0"/>
          <w:numId w:val="61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60" w:hanging="532"/>
        <w:spacing w:after="0" w:line="331" w:lineRule="auto"/>
        <w:tabs>
          <w:tab w:leader="none" w:pos="1080" w:val="left"/>
        </w:tabs>
        <w:numPr>
          <w:ilvl w:val="1"/>
          <w:numId w:val="6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2021</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color w:val="auto"/>
        </w:rPr>
        <w:t>By:</w:t>
        <w:tab/>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62230</wp:posOffset>
            </wp:positionV>
            <wp:extent cx="264033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78"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Name:</w:t>
        <w:tab/>
        <w:t>Achilleas Tasioulas</w:t>
      </w:r>
    </w:p>
    <w:p>
      <w:pPr>
        <w:spacing w:after="0" w:line="15"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14" w:name="page415"/>
    <w:bookmarkEnd w:id="41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4">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4">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139"/>
          </w:cols>
          <w:pgMar w:left="320" w:top="820" w:right="1440" w:bottom="1440" w:gutter="0" w:footer="0" w:header="0"/>
        </w:sectPr>
      </w:pPr>
    </w:p>
    <w:bookmarkStart w:id="415" w:name="page416"/>
    <w:bookmarkEnd w:id="415"/>
    <w:p>
      <w:pPr>
        <w:spacing w:after="0"/>
        <w:rPr>
          <w:rFonts w:ascii="Arial" w:cs="Arial" w:eastAsia="Arial" w:hAnsi="Arial"/>
          <w:sz w:val="22"/>
          <w:szCs w:val="22"/>
          <w:color w:val="0000EE"/>
        </w:rPr>
      </w:pPr>
      <w:hyperlink w:anchor="page4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2020,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62230</wp:posOffset>
            </wp:positionV>
            <wp:extent cx="26403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78"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Name:</w:t>
        <w:tab/>
        <w:t>Paul A. Wogan</w:t>
      </w:r>
    </w:p>
    <w:p>
      <w:pPr>
        <w:spacing w:after="0" w:line="15"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16" w:name="page417"/>
    <w:bookmarkEnd w:id="41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6">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416">
        <w:r>
          <w:rPr>
            <w:rFonts w:ascii="Arial" w:cs="Arial" w:eastAsia="Arial" w:hAnsi="Arial"/>
            <w:sz w:val="18"/>
            <w:szCs w:val="18"/>
            <w:u w:val="single" w:color="auto"/>
            <w:color w:val="0000EE"/>
          </w:rPr>
          <w:t>CERTIFICATION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416">
        <w:r>
          <w:rPr>
            <w:rFonts w:ascii="Arial" w:cs="Arial" w:eastAsia="Arial" w:hAnsi="Arial"/>
            <w:sz w:val="18"/>
            <w:szCs w:val="18"/>
            <w:u w:val="single" w:color="auto"/>
            <w:color w:val="0000EE"/>
          </w:rPr>
          <w:t>2002</w:t>
        </w:r>
      </w:hyperlink>
    </w:p>
    <w:p>
      <w:pPr>
        <w:sectPr>
          <w:pgSz w:w="11900" w:h="16838" w:orient="portrait"/>
          <w:cols w:equalWidth="0" w:num="1">
            <w:col w:w="10860"/>
          </w:cols>
          <w:pgMar w:left="320" w:top="820" w:right="719" w:bottom="1440" w:gutter="0" w:footer="0" w:header="0"/>
        </w:sectPr>
      </w:pPr>
    </w:p>
    <w:bookmarkStart w:id="417" w:name="page418"/>
    <w:bookmarkEnd w:id="417"/>
    <w:p>
      <w:pPr>
        <w:spacing w:after="0"/>
        <w:rPr>
          <w:rFonts w:ascii="Arial" w:cs="Arial" w:eastAsia="Arial" w:hAnsi="Arial"/>
          <w:sz w:val="22"/>
          <w:szCs w:val="22"/>
          <w:color w:val="0000EE"/>
        </w:rPr>
      </w:pPr>
      <w:hyperlink w:anchor="page4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2020,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2021</w:t>
      </w:r>
    </w:p>
    <w:p>
      <w:pPr>
        <w:spacing w:after="0" w:line="225"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color w:val="auto"/>
        </w:rPr>
        <w:t>By:</w:t>
        <w:tab/>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62230</wp:posOffset>
            </wp:positionV>
            <wp:extent cx="26403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78"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Name:</w:t>
        <w:tab/>
        <w:t>Achilleas Tasioulas</w:t>
      </w:r>
    </w:p>
    <w:p>
      <w:pPr>
        <w:spacing w:after="0" w:line="15" w:lineRule="exact"/>
        <w:rPr>
          <w:sz w:val="20"/>
          <w:szCs w:val="20"/>
          <w:color w:val="auto"/>
        </w:rPr>
      </w:pPr>
    </w:p>
    <w:p>
      <w:pPr>
        <w:ind w:left="1600"/>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18" w:name="page419"/>
    <w:bookmarkEnd w:id="4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8">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418">
        <w:r>
          <w:rPr>
            <w:rFonts w:ascii="Arial" w:cs="Arial" w:eastAsia="Arial" w:hAnsi="Arial"/>
            <w:sz w:val="18"/>
            <w:szCs w:val="18"/>
            <w:u w:val="single" w:color="auto"/>
            <w:color w:val="0000EE"/>
          </w:rPr>
          <w:t>CERTIFICATION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418">
        <w:r>
          <w:rPr>
            <w:rFonts w:ascii="Arial" w:cs="Arial" w:eastAsia="Arial" w:hAnsi="Arial"/>
            <w:sz w:val="18"/>
            <w:szCs w:val="18"/>
            <w:u w:val="single" w:color="auto"/>
            <w:color w:val="0000EE"/>
          </w:rPr>
          <w:t>2002</w:t>
        </w:r>
      </w:hyperlink>
    </w:p>
    <w:p>
      <w:pPr>
        <w:sectPr>
          <w:pgSz w:w="11900" w:h="16838" w:orient="portrait"/>
          <w:cols w:equalWidth="0" w:num="1">
            <w:col w:w="10860"/>
          </w:cols>
          <w:pgMar w:left="320" w:top="820" w:right="719" w:bottom="1440" w:gutter="0" w:footer="0" w:header="0"/>
        </w:sectPr>
      </w:pPr>
    </w:p>
    <w:bookmarkStart w:id="419" w:name="page420"/>
    <w:bookmarkEnd w:id="419"/>
    <w:p>
      <w:pPr>
        <w:spacing w:after="0"/>
        <w:rPr>
          <w:rFonts w:ascii="Arial" w:cs="Arial" w:eastAsia="Arial" w:hAnsi="Arial"/>
          <w:sz w:val="22"/>
          <w:szCs w:val="22"/>
          <w:color w:val="0000EE"/>
        </w:rPr>
      </w:pPr>
      <w:hyperlink w:anchor="page4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333-239797 on Form F-3, No. 333-230205 on Form F-3 and No. 333-187020 on Form S-8, of our reports dated March 5, 2021, relating to the consolidated financial statements of GasLog Ltd., and the effectiveness of GasLog Ltd.'s internal control over financial reporting, appearing in this Annual Report on Form 20-F of GasLog Ltd. for the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20" w:name="page421"/>
    <w:bookmarkEnd w:id="4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20">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139"/>
      </w:cols>
      <w:pgMar w:left="32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D53FD"/>
    <w:multiLevelType w:val="hybridMultilevel"/>
    <w:lvl w:ilvl="0">
      <w:lvlJc w:val="left"/>
      <w:lvlText w:val="o"/>
      <w:numFmt w:val="bullet"/>
      <w:start w:val="1"/>
    </w:lvl>
  </w:abstractNum>
  <w:abstractNum w:abstractNumId="1">
    <w:nsid w:val="569951FE"/>
    <w:multiLevelType w:val="hybridMultilevel"/>
    <w:lvl w:ilvl="0">
      <w:lvlJc w:val="left"/>
      <w:lvlText w:val="☒"/>
      <w:numFmt w:val="bullet"/>
      <w:start w:val="1"/>
    </w:lvl>
  </w:abstractNum>
  <w:abstractNum w:abstractNumId="2">
    <w:nsid w:val="4C54E2C3"/>
    <w:multiLevelType w:val="hybridMultilevel"/>
    <w:lvl w:ilvl="0">
      <w:lvlJc w:val="left"/>
      <w:lvlText w:val="o"/>
      <w:numFmt w:val="bullet"/>
      <w:start w:val="1"/>
    </w:lvl>
  </w:abstractNum>
  <w:abstractNum w:abstractNumId="3">
    <w:nsid w:val="788BD9B"/>
    <w:multiLevelType w:val="hybridMultilevel"/>
    <w:lvl w:ilvl="0">
      <w:lvlJc w:val="left"/>
      <w:lvlText w:val="•"/>
      <w:numFmt w:val="bullet"/>
      <w:start w:val="1"/>
    </w:lvl>
  </w:abstractNum>
  <w:abstractNum w:abstractNumId="4">
    <w:nsid w:val="47CAA567"/>
    <w:multiLevelType w:val="hybridMultilevel"/>
    <w:lvl w:ilvl="0">
      <w:lvlJc w:val="left"/>
      <w:lvlText w:val="•"/>
      <w:numFmt w:val="bullet"/>
      <w:start w:val="1"/>
    </w:lvl>
  </w:abstractNum>
  <w:abstractNum w:abstractNumId="5">
    <w:nsid w:val="48249DBF"/>
    <w:multiLevelType w:val="hybridMultilevel"/>
    <w:lvl w:ilvl="0">
      <w:lvlJc w:val="left"/>
      <w:lvlText w:val="•"/>
      <w:numFmt w:val="bullet"/>
      <w:start w:val="1"/>
    </w:lvl>
  </w:abstractNum>
  <w:abstractNum w:abstractNumId="6">
    <w:nsid w:val="1F0E5D0D"/>
    <w:multiLevelType w:val="hybridMultilevel"/>
    <w:lvl w:ilvl="0">
      <w:lvlJc w:val="left"/>
      <w:lvlText w:val="•"/>
      <w:numFmt w:val="bullet"/>
      <w:start w:val="1"/>
    </w:lvl>
  </w:abstractNum>
  <w:abstractNum w:abstractNumId="7">
    <w:nsid w:val="26BAAE9"/>
    <w:multiLevelType w:val="hybridMultilevel"/>
    <w:lvl w:ilvl="0">
      <w:lvlJc w:val="left"/>
      <w:lvlText w:val="(%1)"/>
      <w:numFmt w:val="decimal"/>
      <w:start w:val="1"/>
    </w:lvl>
  </w:abstractNum>
  <w:abstractNum w:abstractNumId="8">
    <w:nsid w:val="2C02FE8C"/>
    <w:multiLevelType w:val="hybridMultilevel"/>
    <w:lvl w:ilvl="0">
      <w:lvlJc w:val="left"/>
      <w:lvlText w:val="%1"/>
      <w:numFmt w:val="upperLetter"/>
      <w:start w:val="1"/>
    </w:lvl>
    <w:lvl w:ilvl="1">
      <w:lvlJc w:val="left"/>
      <w:lvlText w:val="(%2)"/>
      <w:numFmt w:val="decimal"/>
      <w:start w:val="1"/>
    </w:lvl>
  </w:abstractNum>
  <w:abstractNum w:abstractNumId="9">
    <w:nsid w:val="129517E"/>
    <w:multiLevelType w:val="hybridMultilevel"/>
    <w:lvl w:ilvl="0">
      <w:lvlJc w:val="left"/>
      <w:lvlText w:val="%1."/>
      <w:numFmt w:val="upperLetter"/>
      <w:start w:val="3"/>
    </w:lvl>
    <w:lvl w:ilvl="1">
      <w:lvlJc w:val="left"/>
      <w:lvlText w:val="%2"/>
      <w:numFmt w:val="decimal"/>
      <w:start w:val="1"/>
    </w:lvl>
  </w:abstractNum>
  <w:abstractNum w:abstractNumId="10">
    <w:nsid w:val="763B8C4E"/>
    <w:multiLevelType w:val="hybridMultilevel"/>
    <w:lvl w:ilvl="0">
      <w:lvlJc w:val="left"/>
      <w:lvlText w:val="•"/>
      <w:numFmt w:val="bullet"/>
      <w:start w:val="1"/>
    </w:lvl>
  </w:abstractNum>
  <w:abstractNum w:abstractNumId="11">
    <w:nsid w:val="4CFB8D32"/>
    <w:multiLevelType w:val="hybridMultilevel"/>
    <w:lvl w:ilvl="0">
      <w:lvlJc w:val="left"/>
      <w:lvlText w:val="•"/>
      <w:numFmt w:val="bullet"/>
      <w:start w:val="1"/>
    </w:lvl>
  </w:abstractNum>
  <w:abstractNum w:abstractNumId="12">
    <w:nsid w:val="62A5D5BD"/>
    <w:multiLevelType w:val="hybridMultilevel"/>
    <w:lvl w:ilvl="0">
      <w:lvlJc w:val="left"/>
      <w:lvlText w:val="•"/>
      <w:numFmt w:val="bullet"/>
      <w:start w:val="1"/>
    </w:lvl>
  </w:abstractNum>
  <w:abstractNum w:abstractNumId="13">
    <w:nsid w:val="718FABF9"/>
    <w:multiLevelType w:val="hybridMultilevel"/>
    <w:lvl w:ilvl="0">
      <w:lvlJc w:val="left"/>
      <w:lvlText w:val="•"/>
      <w:numFmt w:val="bullet"/>
      <w:start w:val="1"/>
    </w:lvl>
  </w:abstractNum>
  <w:abstractNum w:abstractNumId="14">
    <w:nsid w:val="7775797C"/>
    <w:multiLevelType w:val="hybridMultilevel"/>
    <w:lvl w:ilvl="0">
      <w:lvlJc w:val="left"/>
      <w:lvlText w:val="•"/>
      <w:numFmt w:val="bullet"/>
      <w:start w:val="1"/>
    </w:lvl>
  </w:abstractNum>
  <w:abstractNum w:abstractNumId="15">
    <w:nsid w:val="1626FB8C"/>
    <w:multiLevelType w:val="hybridMultilevel"/>
    <w:lvl w:ilvl="0">
      <w:lvlJc w:val="left"/>
      <w:lvlText w:val="•"/>
      <w:numFmt w:val="bullet"/>
      <w:start w:val="1"/>
    </w:lvl>
  </w:abstractNum>
  <w:abstractNum w:abstractNumId="16">
    <w:nsid w:val="3957756A"/>
    <w:multiLevelType w:val="hybridMultilevel"/>
    <w:lvl w:ilvl="0">
      <w:lvlJc w:val="left"/>
      <w:lvlText w:val="(%1)"/>
      <w:numFmt w:val="lowerLetter"/>
      <w:start w:val="2"/>
    </w:lvl>
  </w:abstractNum>
  <w:abstractNum w:abstractNumId="17">
    <w:nsid w:val="3E6DA1C7"/>
    <w:multiLevelType w:val="hybridMultilevel"/>
    <w:lvl w:ilvl="0">
      <w:lvlJc w:val="left"/>
      <w:lvlText w:val="•"/>
      <w:numFmt w:val="bullet"/>
      <w:start w:val="1"/>
    </w:lvl>
  </w:abstractNum>
  <w:abstractNum w:abstractNumId="18">
    <w:nsid w:val="65CA235B"/>
    <w:multiLevelType w:val="hybridMultilevel"/>
    <w:lvl w:ilvl="0">
      <w:lvlJc w:val="left"/>
      <w:lvlText w:val="•"/>
      <w:numFmt w:val="bullet"/>
      <w:start w:val="1"/>
    </w:lvl>
  </w:abstractNum>
  <w:abstractNum w:abstractNumId="19">
    <w:nsid w:val="51CB0DA4"/>
    <w:multiLevelType w:val="hybridMultilevel"/>
    <w:lvl w:ilvl="0">
      <w:lvlJc w:val="left"/>
      <w:lvlText w:val="•"/>
      <w:numFmt w:val="bullet"/>
      <w:start w:val="1"/>
    </w:lvl>
  </w:abstractNum>
  <w:abstractNum w:abstractNumId="20">
    <w:nsid w:val="7B9B743C"/>
    <w:multiLevelType w:val="hybridMultilevel"/>
    <w:lvl w:ilvl="0">
      <w:lvlJc w:val="left"/>
      <w:lvlText w:val="•"/>
      <w:numFmt w:val="bullet"/>
      <w:start w:val="1"/>
    </w:lvl>
  </w:abstractNum>
  <w:abstractNum w:abstractNumId="21">
    <w:nsid w:val="13E21002"/>
    <w:multiLevelType w:val="hybridMultilevel"/>
    <w:lvl w:ilvl="0">
      <w:lvlJc w:val="left"/>
      <w:lvlText w:val="•"/>
      <w:numFmt w:val="bullet"/>
      <w:start w:val="1"/>
    </w:lvl>
  </w:abstractNum>
  <w:abstractNum w:abstractNumId="22">
    <w:nsid w:val="257D63F4"/>
    <w:multiLevelType w:val="hybridMultilevel"/>
    <w:lvl w:ilvl="0">
      <w:lvlJc w:val="left"/>
      <w:lvlText w:val="•"/>
      <w:numFmt w:val="bullet"/>
      <w:start w:val="1"/>
    </w:lvl>
  </w:abstractNum>
  <w:abstractNum w:abstractNumId="23">
    <w:nsid w:val="70EC11B2"/>
    <w:multiLevelType w:val="hybridMultilevel"/>
    <w:lvl w:ilvl="0">
      <w:lvlJc w:val="left"/>
      <w:lvlText w:val="•"/>
      <w:numFmt w:val="bullet"/>
      <w:start w:val="1"/>
    </w:lvl>
  </w:abstractNum>
  <w:abstractNum w:abstractNumId="24">
    <w:nsid w:val="2EDA00ED"/>
    <w:multiLevelType w:val="hybridMultilevel"/>
    <w:lvl w:ilvl="0">
      <w:lvlJc w:val="left"/>
      <w:lvlText w:val="•"/>
      <w:numFmt w:val="bullet"/>
      <w:start w:val="1"/>
    </w:lvl>
  </w:abstractNum>
  <w:abstractNum w:abstractNumId="25">
    <w:nsid w:val="73209072"/>
    <w:multiLevelType w:val="hybridMultilevel"/>
    <w:lvl w:ilvl="0">
      <w:lvlJc w:val="left"/>
      <w:lvlText w:val="•"/>
      <w:numFmt w:val="bullet"/>
      <w:start w:val="1"/>
    </w:lvl>
  </w:abstractNum>
  <w:abstractNum w:abstractNumId="26">
    <w:nsid w:val="5FB29816"/>
    <w:multiLevelType w:val="hybridMultilevel"/>
    <w:lvl w:ilvl="0">
      <w:lvlJc w:val="left"/>
      <w:lvlText w:val="•"/>
      <w:numFmt w:val="bullet"/>
      <w:start w:val="1"/>
    </w:lvl>
  </w:abstractNum>
  <w:abstractNum w:abstractNumId="27">
    <w:nsid w:val="3CE732EC"/>
    <w:multiLevelType w:val="hybridMultilevel"/>
    <w:lvl w:ilvl="0">
      <w:lvlJc w:val="left"/>
      <w:lvlText w:val="•"/>
      <w:numFmt w:val="bullet"/>
      <w:start w:val="1"/>
    </w:lvl>
  </w:abstractNum>
  <w:abstractNum w:abstractNumId="28">
    <w:nsid w:val="22F13DF3"/>
    <w:multiLevelType w:val="hybridMultilevel"/>
    <w:lvl w:ilvl="0">
      <w:lvlJc w:val="left"/>
      <w:lvlText w:val="•"/>
      <w:numFmt w:val="bullet"/>
      <w:start w:val="1"/>
    </w:lvl>
  </w:abstractNum>
  <w:abstractNum w:abstractNumId="29">
    <w:nsid w:val="792B8401"/>
    <w:multiLevelType w:val="hybridMultilevel"/>
    <w:lvl w:ilvl="0">
      <w:lvlJc w:val="left"/>
      <w:lvlText w:val="•"/>
      <w:numFmt w:val="bullet"/>
      <w:start w:val="1"/>
    </w:lvl>
  </w:abstractNum>
  <w:abstractNum w:abstractNumId="30">
    <w:nsid w:val="FA85F4D"/>
    <w:multiLevelType w:val="hybridMultilevel"/>
    <w:lvl w:ilvl="0">
      <w:lvlJc w:val="left"/>
      <w:lvlText w:val="•"/>
      <w:numFmt w:val="bullet"/>
      <w:start w:val="1"/>
    </w:lvl>
  </w:abstractNum>
  <w:abstractNum w:abstractNumId="31">
    <w:nsid w:val="6ECE91F0"/>
    <w:multiLevelType w:val="hybridMultilevel"/>
    <w:lvl w:ilvl="0">
      <w:lvlJc w:val="left"/>
      <w:lvlText w:val="•"/>
      <w:numFmt w:val="bullet"/>
      <w:start w:val="1"/>
    </w:lvl>
  </w:abstractNum>
  <w:abstractNum w:abstractNumId="32">
    <w:nsid w:val="4FC4D600"/>
    <w:multiLevelType w:val="hybridMultilevel"/>
    <w:lvl w:ilvl="0">
      <w:lvlJc w:val="left"/>
      <w:lvlText w:val="•"/>
      <w:numFmt w:val="bullet"/>
      <w:start w:val="1"/>
    </w:lvl>
  </w:abstractNum>
  <w:abstractNum w:abstractNumId="33">
    <w:nsid w:val="5BFD4210"/>
    <w:multiLevelType w:val="hybridMultilevel"/>
    <w:lvl w:ilvl="0">
      <w:lvlJc w:val="left"/>
      <w:lvlText w:val="•"/>
      <w:numFmt w:val="bullet"/>
      <w:start w:val="1"/>
    </w:lvl>
  </w:abstractNum>
  <w:abstractNum w:abstractNumId="34">
    <w:nsid w:val="76574F8B"/>
    <w:multiLevelType w:val="hybridMultilevel"/>
    <w:lvl w:ilvl="0">
      <w:lvlJc w:val="left"/>
      <w:lvlText w:val="•"/>
      <w:numFmt w:val="bullet"/>
      <w:start w:val="1"/>
    </w:lvl>
  </w:abstractNum>
  <w:abstractNum w:abstractNumId="35">
    <w:nsid w:val="178F7B67"/>
    <w:multiLevelType w:val="hybridMultilevel"/>
    <w:lvl w:ilvl="0">
      <w:lvlJc w:val="left"/>
      <w:lvlText w:val="•"/>
      <w:numFmt w:val="bullet"/>
      <w:start w:val="1"/>
    </w:lvl>
  </w:abstractNum>
  <w:abstractNum w:abstractNumId="36">
    <w:nsid w:val="2421DFCF"/>
    <w:multiLevelType w:val="hybridMultilevel"/>
    <w:lvl w:ilvl="0">
      <w:lvlJc w:val="left"/>
      <w:lvlText w:val="•"/>
      <w:numFmt w:val="bullet"/>
      <w:start w:val="1"/>
    </w:lvl>
  </w:abstractNum>
  <w:abstractNum w:abstractNumId="37">
    <w:nsid w:val="1565AC99"/>
    <w:multiLevelType w:val="hybridMultilevel"/>
    <w:lvl w:ilvl="0">
      <w:lvlJc w:val="left"/>
      <w:lvlText w:val="•"/>
      <w:numFmt w:val="bullet"/>
      <w:start w:val="1"/>
    </w:lvl>
  </w:abstractNum>
  <w:abstractNum w:abstractNumId="38">
    <w:nsid w:val="19FB2650"/>
    <w:multiLevelType w:val="hybridMultilevel"/>
    <w:lvl w:ilvl="0">
      <w:lvlJc w:val="left"/>
      <w:lvlText w:val="•"/>
      <w:numFmt w:val="bullet"/>
      <w:start w:val="1"/>
    </w:lvl>
  </w:abstractNum>
  <w:abstractNum w:abstractNumId="39">
    <w:nsid w:val="5024DE5B"/>
    <w:multiLevelType w:val="hybridMultilevel"/>
    <w:lvl w:ilvl="0">
      <w:lvlJc w:val="left"/>
      <w:lvlText w:val="•"/>
      <w:numFmt w:val="bullet"/>
      <w:start w:val="1"/>
    </w:lvl>
  </w:abstractNum>
  <w:abstractNum w:abstractNumId="40">
    <w:nsid w:val="168EFE17"/>
    <w:multiLevelType w:val="hybridMultilevel"/>
    <w:lvl w:ilvl="0">
      <w:lvlJc w:val="left"/>
      <w:lvlText w:val="•"/>
      <w:numFmt w:val="bullet"/>
      <w:start w:val="1"/>
    </w:lvl>
  </w:abstractNum>
  <w:abstractNum w:abstractNumId="41">
    <w:nsid w:val="1036B29F"/>
    <w:multiLevelType w:val="hybridMultilevel"/>
    <w:lvl w:ilvl="0">
      <w:lvlJc w:val="left"/>
      <w:lvlText w:val="•"/>
      <w:numFmt w:val="bullet"/>
      <w:start w:val="1"/>
    </w:lvl>
  </w:abstractNum>
  <w:abstractNum w:abstractNumId="42">
    <w:nsid w:val="1D206B8E"/>
    <w:multiLevelType w:val="hybridMultilevel"/>
    <w:lvl w:ilvl="0">
      <w:lvlJc w:val="left"/>
      <w:lvlText w:val="•"/>
      <w:numFmt w:val="bullet"/>
      <w:start w:val="1"/>
    </w:lvl>
  </w:abstractNum>
  <w:abstractNum w:abstractNumId="43">
    <w:nsid w:val="7934D3D4"/>
    <w:multiLevelType w:val="hybridMultilevel"/>
    <w:lvl w:ilvl="0">
      <w:lvlJc w:val="left"/>
      <w:lvlText w:val="(%1)"/>
      <w:numFmt w:val="lowerRoman"/>
      <w:start w:val="3"/>
    </w:lvl>
  </w:abstractNum>
  <w:abstractNum w:abstractNumId="44">
    <w:nsid w:val="1C65E98"/>
    <w:multiLevelType w:val="hybridMultilevel"/>
    <w:lvl w:ilvl="0">
      <w:lvlJc w:val="left"/>
      <w:lvlText w:val="•"/>
      <w:numFmt w:val="bullet"/>
      <w:start w:val="1"/>
    </w:lvl>
  </w:abstractNum>
  <w:abstractNum w:abstractNumId="45">
    <w:nsid w:val="1495E50A"/>
    <w:multiLevelType w:val="hybridMultilevel"/>
    <w:lvl w:ilvl="0">
      <w:lvlJc w:val="left"/>
      <w:lvlText w:val="(%1)"/>
      <w:numFmt w:val="lowerRoman"/>
      <w:start w:val="2"/>
    </w:lvl>
  </w:abstractNum>
  <w:abstractNum w:abstractNumId="46">
    <w:nsid w:val="F5BCF61"/>
    <w:multiLevelType w:val="hybridMultilevel"/>
    <w:lvl w:ilvl="0">
      <w:lvlJc w:val="left"/>
      <w:lvlText w:val="(%1)"/>
      <w:numFmt w:val="decimal"/>
      <w:start w:val="1"/>
    </w:lvl>
  </w:abstractNum>
  <w:abstractNum w:abstractNumId="47">
    <w:nsid w:val="3B1DD403"/>
    <w:multiLevelType w:val="hybridMultilevel"/>
    <w:lvl w:ilvl="0">
      <w:lvlJc w:val="left"/>
      <w:lvlText w:val="(%1)"/>
      <w:numFmt w:val="decimal"/>
      <w:start w:val="2"/>
    </w:lvl>
  </w:abstractNum>
  <w:abstractNum w:abstractNumId="48">
    <w:nsid w:val="530386D1"/>
    <w:multiLevelType w:val="hybridMultilevel"/>
    <w:lvl w:ilvl="0">
      <w:lvlJc w:val="left"/>
      <w:lvlText w:val="•"/>
      <w:numFmt w:val="bullet"/>
      <w:start w:val="1"/>
    </w:lvl>
  </w:abstractNum>
  <w:abstractNum w:abstractNumId="49">
    <w:nsid w:val="7525F2BC"/>
    <w:multiLevelType w:val="hybridMultilevel"/>
    <w:lvl w:ilvl="0">
      <w:lvlJc w:val="left"/>
      <w:lvlText w:val="(%1)"/>
      <w:numFmt w:val="decimal"/>
      <w:start w:val="1"/>
    </w:lvl>
  </w:abstractNum>
  <w:abstractNum w:abstractNumId="50">
    <w:nsid w:val="CE8E1A7"/>
    <w:multiLevelType w:val="hybridMultilevel"/>
    <w:lvl w:ilvl="0">
      <w:lvlJc w:val="left"/>
      <w:lvlText w:val="•"/>
      <w:numFmt w:val="bullet"/>
      <w:start w:val="1"/>
    </w:lvl>
  </w:abstractNum>
  <w:abstractNum w:abstractNumId="51">
    <w:nsid w:val="4E9EFB0D"/>
    <w:multiLevelType w:val="hybridMultilevel"/>
    <w:lvl w:ilvl="0">
      <w:lvlJc w:val="left"/>
      <w:lvlText w:val="•"/>
      <w:numFmt w:val="bullet"/>
      <w:start w:val="1"/>
    </w:lvl>
  </w:abstractNum>
  <w:abstractNum w:abstractNumId="52">
    <w:nsid w:val="90802BE"/>
    <w:multiLevelType w:val="hybridMultilevel"/>
    <w:lvl w:ilvl="0">
      <w:lvlJc w:val="left"/>
      <w:lvlText w:val="(%1)"/>
      <w:numFmt w:val="decimal"/>
      <w:start w:val="1"/>
    </w:lvl>
  </w:abstractNum>
  <w:abstractNum w:abstractNumId="53">
    <w:nsid w:val="3266459B"/>
    <w:multiLevelType w:val="hybridMultilevel"/>
    <w:lvl w:ilvl="0">
      <w:lvlJc w:val="left"/>
      <w:lvlText w:val="•"/>
      <w:numFmt w:val="bullet"/>
      <w:start w:val="1"/>
    </w:lvl>
  </w:abstractNum>
  <w:abstractNum w:abstractNumId="54">
    <w:nsid w:val="3F8B0CBF"/>
    <w:multiLevelType w:val="hybridMultilevel"/>
    <w:lvl w:ilvl="0">
      <w:lvlJc w:val="left"/>
      <w:lvlText w:val="•"/>
      <w:numFmt w:val="bullet"/>
      <w:start w:val="1"/>
    </w:lvl>
  </w:abstractNum>
  <w:abstractNum w:abstractNumId="55">
    <w:nsid w:val="37E203AB"/>
    <w:multiLevelType w:val="hybridMultilevel"/>
    <w:lvl w:ilvl="0">
      <w:lvlJc w:val="left"/>
      <w:lvlText w:val="•"/>
      <w:numFmt w:val="bullet"/>
      <w:start w:val="1"/>
    </w:lvl>
  </w:abstractNum>
  <w:abstractNum w:abstractNumId="56">
    <w:nsid w:val="2586D60E"/>
    <w:multiLevelType w:val="hybridMultilevel"/>
    <w:lvl w:ilvl="0">
      <w:lvlJc w:val="left"/>
      <w:lvlText w:val="(%1)"/>
      <w:numFmt w:val="decimal"/>
      <w:start w:val="1"/>
    </w:lvl>
  </w:abstractNum>
  <w:abstractNum w:abstractNumId="57">
    <w:nsid w:val="1F3DA4D5"/>
    <w:multiLevelType w:val="hybridMultilevel"/>
    <w:lvl w:ilvl="0">
      <w:lvlJc w:val="left"/>
      <w:lvlText w:val="(%1)"/>
      <w:numFmt w:val="decimal"/>
      <w:start w:val="1"/>
    </w:lvl>
  </w:abstractNum>
  <w:abstractNum w:abstractNumId="58">
    <w:nsid w:val="74C93698"/>
    <w:multiLevelType w:val="hybridMultilevel"/>
    <w:lvl w:ilvl="0">
      <w:lvlJc w:val="left"/>
      <w:lvlText w:val="•"/>
      <w:numFmt w:val="bullet"/>
      <w:start w:val="1"/>
    </w:lvl>
  </w:abstractNum>
  <w:abstractNum w:abstractNumId="59">
    <w:nsid w:val="48781401"/>
    <w:multiLevelType w:val="hybridMultilevel"/>
    <w:lvl w:ilvl="0">
      <w:lvlJc w:val="left"/>
      <w:lvlText w:val="•"/>
      <w:numFmt w:val="bullet"/>
      <w:start w:val="1"/>
    </w:lvl>
  </w:abstractNum>
  <w:abstractNum w:abstractNumId="60">
    <w:nsid w:val="186928D6"/>
    <w:multiLevelType w:val="hybridMultilevel"/>
    <w:lvl w:ilvl="0">
      <w:lvlJc w:val="left"/>
      <w:lvlText w:val="•"/>
      <w:numFmt w:val="bullet"/>
      <w:start w:val="1"/>
    </w:lvl>
  </w:abstractNum>
  <w:abstractNum w:abstractNumId="61">
    <w:nsid w:val="47195E5"/>
    <w:multiLevelType w:val="hybridMultilevel"/>
    <w:lvl w:ilvl="0">
      <w:lvlJc w:val="left"/>
      <w:lvlText w:val="•"/>
      <w:numFmt w:val="bullet"/>
      <w:start w:val="1"/>
    </w:lvl>
  </w:abstractNum>
  <w:abstractNum w:abstractNumId="62">
    <w:nsid w:val="3746A5F2"/>
    <w:multiLevelType w:val="hybridMultilevel"/>
    <w:lvl w:ilvl="0">
      <w:lvlJc w:val="left"/>
      <w:lvlText w:val="•"/>
      <w:numFmt w:val="bullet"/>
      <w:start w:val="1"/>
    </w:lvl>
  </w:abstractNum>
  <w:abstractNum w:abstractNumId="63">
    <w:nsid w:val="682DFED6"/>
    <w:multiLevelType w:val="hybridMultilevel"/>
    <w:lvl w:ilvl="0">
      <w:lvlJc w:val="left"/>
      <w:lvlText w:val="•"/>
      <w:numFmt w:val="bullet"/>
      <w:start w:val="1"/>
    </w:lvl>
  </w:abstractNum>
  <w:abstractNum w:abstractNumId="64">
    <w:nsid w:val="606ED7F6"/>
    <w:multiLevelType w:val="hybridMultilevel"/>
    <w:lvl w:ilvl="0">
      <w:lvlJc w:val="left"/>
      <w:lvlText w:val="•"/>
      <w:numFmt w:val="bullet"/>
      <w:start w:val="1"/>
    </w:lvl>
  </w:abstractNum>
  <w:abstractNum w:abstractNumId="65">
    <w:nsid w:val="2D9DF57D"/>
    <w:multiLevelType w:val="hybridMultilevel"/>
    <w:lvl w:ilvl="0">
      <w:lvlJc w:val="left"/>
      <w:lvlText w:val="•"/>
      <w:numFmt w:val="bullet"/>
      <w:start w:val="1"/>
    </w:lvl>
  </w:abstractNum>
  <w:abstractNum w:abstractNumId="66">
    <w:nsid w:val="7FBD7A3E"/>
    <w:multiLevelType w:val="hybridMultilevel"/>
    <w:lvl w:ilvl="0">
      <w:lvlJc w:val="left"/>
      <w:lvlText w:val="(%1)"/>
      <w:numFmt w:val="decimal"/>
      <w:start w:val="1"/>
    </w:lvl>
  </w:abstractNum>
  <w:abstractNum w:abstractNumId="67">
    <w:nsid w:val="490B7C5"/>
    <w:multiLevelType w:val="hybridMultilevel"/>
    <w:lvl w:ilvl="0">
      <w:lvlJc w:val="left"/>
      <w:lvlText w:val="(%1)"/>
      <w:numFmt w:val="lowerRoman"/>
      <w:start w:val="3"/>
    </w:lvl>
  </w:abstractNum>
  <w:abstractNum w:abstractNumId="68">
    <w:nsid w:val="4303A216"/>
    <w:multiLevelType w:val="hybridMultilevel"/>
    <w:lvl w:ilvl="0">
      <w:lvlJc w:val="left"/>
      <w:lvlText w:val="(%1)"/>
      <w:numFmt w:val="decimal"/>
      <w:start w:val="1"/>
    </w:lvl>
  </w:abstractNum>
  <w:abstractNum w:abstractNumId="69">
    <w:nsid w:val="19B8A08E"/>
    <w:multiLevelType w:val="hybridMultilevel"/>
    <w:lvl w:ilvl="0">
      <w:lvlJc w:val="left"/>
      <w:lvlText w:val="(%1)"/>
      <w:numFmt w:val="decimal"/>
      <w:start w:val="1"/>
    </w:lvl>
  </w:abstractNum>
  <w:abstractNum w:abstractNumId="70">
    <w:nsid w:val="54B59621"/>
    <w:multiLevelType w:val="hybridMultilevel"/>
    <w:lvl w:ilvl="0">
      <w:lvlJc w:val="left"/>
      <w:lvlText w:val="•"/>
      <w:numFmt w:val="bullet"/>
      <w:start w:val="1"/>
    </w:lvl>
  </w:abstractNum>
  <w:abstractNum w:abstractNumId="71">
    <w:nsid w:val="5992A02E"/>
    <w:multiLevelType w:val="hybridMultilevel"/>
    <w:lvl w:ilvl="0">
      <w:lvlJc w:val="left"/>
      <w:lvlText w:val="•"/>
      <w:numFmt w:val="bullet"/>
      <w:start w:val="1"/>
    </w:lvl>
  </w:abstractNum>
  <w:abstractNum w:abstractNumId="72">
    <w:nsid w:val="29EF532D"/>
    <w:multiLevelType w:val="hybridMultilevel"/>
    <w:lvl w:ilvl="0">
      <w:lvlJc w:val="left"/>
      <w:lvlText w:val="•"/>
      <w:numFmt w:val="bullet"/>
      <w:start w:val="1"/>
    </w:lvl>
  </w:abstractNum>
  <w:abstractNum w:abstractNumId="73">
    <w:nsid w:val="71D601AF"/>
    <w:multiLevelType w:val="hybridMultilevel"/>
    <w:lvl w:ilvl="0">
      <w:lvlJc w:val="left"/>
      <w:lvlText w:val="•"/>
      <w:numFmt w:val="bullet"/>
      <w:start w:val="1"/>
    </w:lvl>
  </w:abstractNum>
  <w:abstractNum w:abstractNumId="74">
    <w:nsid w:val="52C77402"/>
    <w:multiLevelType w:val="hybridMultilevel"/>
    <w:lvl w:ilvl="0">
      <w:lvlJc w:val="left"/>
      <w:lvlText w:val="%1."/>
      <w:numFmt w:val="upperLetter"/>
      <w:start w:val="1"/>
    </w:lvl>
    <w:lvl w:ilvl="1">
      <w:lvlJc w:val="left"/>
      <w:lvlText w:val="•"/>
      <w:numFmt w:val="bullet"/>
      <w:start w:val="1"/>
    </w:lvl>
  </w:abstractNum>
  <w:abstractNum w:abstractNumId="75">
    <w:nsid w:val="2BB5B1C6"/>
    <w:multiLevelType w:val="hybridMultilevel"/>
    <w:lvl w:ilvl="0">
      <w:lvlJc w:val="left"/>
      <w:lvlText w:val="•"/>
      <w:numFmt w:val="bullet"/>
      <w:start w:val="1"/>
    </w:lvl>
  </w:abstractNum>
  <w:abstractNum w:abstractNumId="76">
    <w:nsid w:val="66BE6B9"/>
    <w:multiLevelType w:val="hybridMultilevel"/>
    <w:lvl w:ilvl="0">
      <w:lvlJc w:val="left"/>
      <w:lvlText w:val="(%1)"/>
      <w:numFmt w:val="decimal"/>
      <w:start w:val="1"/>
    </w:lvl>
  </w:abstractNum>
  <w:abstractNum w:abstractNumId="77">
    <w:nsid w:val="62234363"/>
    <w:multiLevelType w:val="hybridMultilevel"/>
    <w:lvl w:ilvl="0">
      <w:lvlJc w:val="left"/>
      <w:lvlText w:val="*"/>
      <w:numFmt w:val="bullet"/>
      <w:start w:val="1"/>
    </w:lvl>
  </w:abstractNum>
  <w:abstractNum w:abstractNumId="78">
    <w:nsid w:val="66D385C9"/>
    <w:multiLevelType w:val="hybridMultilevel"/>
    <w:lvl w:ilvl="0">
      <w:lvlJc w:val="left"/>
      <w:lvlText w:val="•"/>
      <w:numFmt w:val="bullet"/>
      <w:start w:val="1"/>
    </w:lvl>
  </w:abstractNum>
  <w:abstractNum w:abstractNumId="79">
    <w:nsid w:val="596F6D8A"/>
    <w:multiLevelType w:val="hybridMultilevel"/>
    <w:lvl w:ilvl="0">
      <w:lvlJc w:val="left"/>
      <w:lvlText w:val="(%1)"/>
      <w:numFmt w:val="decimal"/>
      <w:start w:val="1"/>
    </w:lvl>
  </w:abstractNum>
  <w:abstractNum w:abstractNumId="80">
    <w:nsid w:val="5749361F"/>
    <w:multiLevelType w:val="hybridMultilevel"/>
    <w:lvl w:ilvl="0">
      <w:lvlJc w:val="left"/>
      <w:lvlText w:val="(%1)"/>
      <w:numFmt w:val="decimal"/>
      <w:start w:val="2"/>
    </w:lvl>
    <w:lvl w:ilvl="1">
      <w:lvlJc w:val="left"/>
      <w:lvlText w:val="(%2)"/>
      <w:numFmt w:val="lowerLetter"/>
      <w:start w:val="24"/>
    </w:lvl>
  </w:abstractNum>
  <w:abstractNum w:abstractNumId="81">
    <w:nsid w:val="73BC6770"/>
    <w:multiLevelType w:val="hybridMultilevel"/>
    <w:lvl w:ilvl="0">
      <w:lvlJc w:val="left"/>
      <w:lvlText w:val="%1"/>
      <w:numFmt w:val="decimal"/>
      <w:start w:val="1"/>
    </w:lvl>
    <w:lvl w:ilvl="1">
      <w:lvlJc w:val="left"/>
      <w:lvlText w:val="(%2)"/>
      <w:numFmt w:val="lowerLetter"/>
      <w:start w:val="1"/>
    </w:lvl>
  </w:abstractNum>
  <w:abstractNum w:abstractNumId="82">
    <w:nsid w:val="280E6897"/>
    <w:multiLevelType w:val="hybridMultilevel"/>
    <w:lvl w:ilvl="0">
      <w:lvlJc w:val="left"/>
      <w:lvlText w:val="(%1)"/>
      <w:numFmt w:val="decimal"/>
      <w:start w:val="5"/>
    </w:lvl>
    <w:lvl w:ilvl="1">
      <w:lvlJc w:val="left"/>
      <w:lvlText w:val="%2"/>
      <w:numFmt w:val="lowerLetter"/>
      <w:start w:val="1"/>
    </w:lvl>
  </w:abstractNum>
  <w:abstractNum w:abstractNumId="83">
    <w:nsid w:val="605138DE"/>
    <w:multiLevelType w:val="hybridMultilevel"/>
    <w:lvl w:ilvl="0">
      <w:lvlJc w:val="left"/>
      <w:lvlText w:val="(%1)"/>
      <w:numFmt w:val="decimal"/>
      <w:start w:val="1"/>
    </w:lvl>
    <w:lvl w:ilvl="1">
      <w:lvlJc w:val="left"/>
      <w:lvlText w:val="(%2)"/>
      <w:numFmt w:val="lowerLetter"/>
      <w:start w:val="1"/>
    </w:lvl>
  </w:abstractNum>
  <w:abstractNum w:abstractNumId="84">
    <w:nsid w:val="2622AD0C"/>
    <w:multiLevelType w:val="hybridMultilevel"/>
    <w:lvl w:ilvl="0">
      <w:lvlJc w:val="left"/>
      <w:lvlText w:val="•"/>
      <w:numFmt w:val="bullet"/>
      <w:start w:val="1"/>
    </w:lvl>
  </w:abstractNum>
  <w:abstractNum w:abstractNumId="85">
    <w:nsid w:val="67997556"/>
    <w:multiLevelType w:val="hybridMultilevel"/>
    <w:lvl w:ilvl="0">
      <w:lvlJc w:val="left"/>
      <w:lvlText w:val="•"/>
      <w:numFmt w:val="bullet"/>
      <w:start w:val="1"/>
    </w:lvl>
  </w:abstractNum>
  <w:abstractNum w:abstractNumId="86">
    <w:nsid w:val="18333C89"/>
    <w:multiLevelType w:val="hybridMultilevel"/>
    <w:lvl w:ilvl="0">
      <w:lvlJc w:val="left"/>
      <w:lvlText w:val="•"/>
      <w:numFmt w:val="bullet"/>
      <w:start w:val="1"/>
    </w:lvl>
  </w:abstractNum>
  <w:abstractNum w:abstractNumId="87">
    <w:nsid w:val="4BA9831A"/>
    <w:multiLevelType w:val="hybridMultilevel"/>
    <w:lvl w:ilvl="0">
      <w:lvlJc w:val="left"/>
      <w:lvlText w:val="%1."/>
      <w:numFmt w:val="upperLetter"/>
      <w:start w:val="2"/>
    </w:lvl>
  </w:abstractNum>
  <w:abstractNum w:abstractNumId="88">
    <w:nsid w:val="6D71A2B"/>
    <w:multiLevelType w:val="hybridMultilevel"/>
    <w:lvl w:ilvl="0">
      <w:lvlJc w:val="left"/>
      <w:lvlText w:val="(%1)"/>
      <w:numFmt w:val="lowerLetter"/>
      <w:start w:val="1"/>
    </w:lvl>
  </w:abstractNum>
  <w:abstractNum w:abstractNumId="89">
    <w:nsid w:val="CFC7321"/>
    <w:multiLevelType w:val="hybridMultilevel"/>
    <w:lvl w:ilvl="0">
      <w:lvlJc w:val="left"/>
      <w:lvlText w:val="(%1)"/>
      <w:numFmt w:val="lowerLetter"/>
      <w:start w:val="9"/>
    </w:lvl>
  </w:abstractNum>
  <w:abstractNum w:abstractNumId="90">
    <w:nsid w:val="1421971B"/>
    <w:multiLevelType w:val="hybridMultilevel"/>
    <w:lvl w:ilvl="0">
      <w:lvlJc w:val="left"/>
      <w:lvlText w:val="(%1)"/>
      <w:numFmt w:val="lowerLetter"/>
      <w:start w:val="15"/>
    </w:lvl>
  </w:abstractNum>
  <w:abstractNum w:abstractNumId="91">
    <w:nsid w:val="1F404301"/>
    <w:multiLevelType w:val="hybridMultilevel"/>
    <w:lvl w:ilvl="0">
      <w:lvlJc w:val="left"/>
      <w:lvlText w:val="(%1)"/>
      <w:numFmt w:val="lowerLetter"/>
      <w:start w:val="17"/>
    </w:lvl>
  </w:abstractNum>
  <w:abstractNum w:abstractNumId="92">
    <w:nsid w:val="116E0907"/>
    <w:multiLevelType w:val="hybridMultilevel"/>
    <w:lvl w:ilvl="0">
      <w:lvlJc w:val="left"/>
      <w:lvlText w:val="(%1)"/>
      <w:numFmt w:val="lowerRoman"/>
      <w:start w:val="1"/>
    </w:lvl>
  </w:abstractNum>
  <w:abstractNum w:abstractNumId="93">
    <w:nsid w:val="4B683D0D"/>
    <w:multiLevelType w:val="hybridMultilevel"/>
    <w:lvl w:ilvl="0">
      <w:lvlJc w:val="left"/>
      <w:lvlText w:val="(%1)"/>
      <w:numFmt w:val="lowerRoman"/>
      <w:start w:val="1"/>
    </w:lvl>
    <w:lvl w:ilvl="1">
      <w:lvlJc w:val="left"/>
      <w:lvlText w:val="(%2)"/>
      <w:numFmt w:val="lowerLetter"/>
      <w:start w:val="1"/>
    </w:lvl>
  </w:abstractNum>
  <w:abstractNum w:abstractNumId="94">
    <w:nsid w:val="76E41D8"/>
    <w:multiLevelType w:val="hybridMultilevel"/>
    <w:lvl w:ilvl="0">
      <w:lvlJc w:val="left"/>
      <w:lvlText w:val="(%1)"/>
      <w:numFmt w:val="lowerRoman"/>
      <w:start w:val="1"/>
    </w:lvl>
  </w:abstractNum>
  <w:abstractNum w:abstractNumId="95">
    <w:nsid w:val="71DCE0FD"/>
    <w:multiLevelType w:val="hybridMultilevel"/>
    <w:lvl w:ilvl="0">
      <w:lvlJc w:val="left"/>
      <w:lvlText w:val="(%1)"/>
      <w:numFmt w:val="lowerRoman"/>
      <w:start w:val="1"/>
    </w:lvl>
  </w:abstractNum>
  <w:abstractNum w:abstractNumId="96">
    <w:nsid w:val="7906328B"/>
    <w:multiLevelType w:val="hybridMultilevel"/>
    <w:lvl w:ilvl="0">
      <w:lvlJc w:val="left"/>
      <w:lvlText w:val="(%1)"/>
      <w:numFmt w:val="lowerRoman"/>
      <w:start w:val="1"/>
    </w:lvl>
  </w:abstractNum>
  <w:abstractNum w:abstractNumId="97">
    <w:nsid w:val="72BBC16"/>
    <w:multiLevelType w:val="hybridMultilevel"/>
    <w:lvl w:ilvl="0">
      <w:lvlJc w:val="left"/>
      <w:lvlText w:val="(%1)"/>
      <w:numFmt w:val="lowerRoman"/>
      <w:start w:val="1"/>
    </w:lvl>
  </w:abstractNum>
  <w:abstractNum w:abstractNumId="98">
    <w:nsid w:val="766D98C2"/>
    <w:multiLevelType w:val="hybridMultilevel"/>
    <w:lvl w:ilvl="0">
      <w:lvlJc w:val="left"/>
      <w:lvlText w:val="(%1)"/>
      <w:numFmt w:val="lowerRoman"/>
      <w:start w:val="1"/>
    </w:lvl>
  </w:abstractNum>
  <w:abstractNum w:abstractNumId="99">
    <w:nsid w:val="3C09D4A1"/>
    <w:multiLevelType w:val="hybridMultilevel"/>
    <w:lvl w:ilvl="0">
      <w:lvlJc w:val="left"/>
      <w:lvlText w:val="(%1)"/>
      <w:numFmt w:val="lowerRoman"/>
      <w:start w:val="1"/>
    </w:lvl>
  </w:abstractNum>
  <w:abstractNum w:abstractNumId="100">
    <w:nsid w:val="20E45CA4"/>
    <w:multiLevelType w:val="hybridMultilevel"/>
    <w:lvl w:ilvl="0">
      <w:lvlJc w:val="left"/>
      <w:lvlText w:val="(%1)"/>
      <w:numFmt w:val="decimal"/>
      <w:start w:val="1"/>
    </w:lvl>
  </w:abstractNum>
  <w:abstractNum w:abstractNumId="101">
    <w:nsid w:val="4B232EE3"/>
    <w:multiLevelType w:val="hybridMultilevel"/>
    <w:lvl w:ilvl="0">
      <w:lvlJc w:val="left"/>
      <w:lvlText w:val="(%1)"/>
      <w:numFmt w:val="decimal"/>
      <w:start w:val="1"/>
    </w:lvl>
  </w:abstractNum>
  <w:abstractNum w:abstractNumId="102">
    <w:nsid w:val="159C74CF"/>
    <w:multiLevelType w:val="hybridMultilevel"/>
    <w:lvl w:ilvl="0">
      <w:lvlJc w:val="left"/>
      <w:lvlText w:val="(%1)"/>
      <w:numFmt w:val="decimal"/>
      <w:start w:val="8"/>
    </w:lvl>
  </w:abstractNum>
  <w:abstractNum w:abstractNumId="103">
    <w:nsid w:val="4AD3AFD2"/>
    <w:multiLevelType w:val="hybridMultilevel"/>
    <w:lvl w:ilvl="0">
      <w:lvlJc w:val="left"/>
      <w:lvlText w:val="*"/>
      <w:numFmt w:val="bullet"/>
      <w:start w:val="1"/>
    </w:lvl>
  </w:abstractNum>
  <w:abstractNum w:abstractNumId="104">
    <w:nsid w:val="3CF93092"/>
    <w:multiLevelType w:val="hybridMultilevel"/>
    <w:lvl w:ilvl="0">
      <w:lvlJc w:val="left"/>
      <w:lvlText w:val="**"/>
      <w:numFmt w:val="bullet"/>
      <w:start w:val="1"/>
    </w:lvl>
  </w:abstractNum>
  <w:abstractNum w:abstractNumId="105">
    <w:nsid w:val="6863E8D2"/>
    <w:multiLevelType w:val="hybridMultilevel"/>
    <w:lvl w:ilvl="0">
      <w:lvlJc w:val="left"/>
      <w:lvlText w:val="•"/>
      <w:numFmt w:val="bullet"/>
      <w:start w:val="1"/>
    </w:lvl>
  </w:abstractNum>
  <w:abstractNum w:abstractNumId="106">
    <w:nsid w:val="76896198"/>
    <w:multiLevelType w:val="hybridMultilevel"/>
    <w:lvl w:ilvl="0">
      <w:lvlJc w:val="left"/>
      <w:lvlText w:val="•"/>
      <w:numFmt w:val="bullet"/>
      <w:start w:val="1"/>
    </w:lvl>
    <w:lvl w:ilvl="1">
      <w:lvlJc w:val="left"/>
      <w:lvlText w:val="\endash "/>
      <w:numFmt w:val="bullet"/>
      <w:start w:val="1"/>
    </w:lvl>
  </w:abstractNum>
  <w:abstractNum w:abstractNumId="107">
    <w:nsid w:val="4365174B"/>
    <w:multiLevelType w:val="hybridMultilevel"/>
    <w:lvl w:ilvl="0">
      <w:lvlJc w:val="left"/>
      <w:lvlText w:val="(%1)"/>
      <w:numFmt w:val="decimal"/>
      <w:start w:val="1"/>
    </w:lvl>
  </w:abstractNum>
  <w:abstractNum w:abstractNumId="108">
    <w:nsid w:val="4A872C35"/>
    <w:multiLevelType w:val="hybridMultilevel"/>
    <w:lvl w:ilvl="0">
      <w:lvlJc w:val="left"/>
      <w:lvlText w:val="(%1)"/>
      <w:numFmt w:val="decimal"/>
      <w:start w:val="1"/>
    </w:lvl>
  </w:abstractNum>
  <w:abstractNum w:abstractNumId="109">
    <w:nsid w:val="5D5CE761"/>
    <w:multiLevelType w:val="hybridMultilevel"/>
    <w:lvl w:ilvl="0">
      <w:lvlJc w:val="left"/>
      <w:lvlText w:val="•"/>
      <w:numFmt w:val="bullet"/>
      <w:start w:val="1"/>
    </w:lvl>
  </w:abstractNum>
  <w:abstractNum w:abstractNumId="110">
    <w:nsid w:val="1CD484D5"/>
    <w:multiLevelType w:val="hybridMultilevel"/>
    <w:lvl w:ilvl="0">
      <w:lvlJc w:val="left"/>
      <w:lvlText w:val="•"/>
      <w:numFmt w:val="bullet"/>
      <w:start w:val="1"/>
    </w:lvl>
  </w:abstractNum>
  <w:abstractNum w:abstractNumId="111">
    <w:nsid w:val="21D06255"/>
    <w:multiLevelType w:val="hybridMultilevel"/>
    <w:lvl w:ilvl="0">
      <w:lvlJc w:val="left"/>
      <w:lvlText w:val="•"/>
      <w:numFmt w:val="bullet"/>
      <w:start w:val="1"/>
    </w:lvl>
  </w:abstractNum>
  <w:abstractNum w:abstractNumId="112">
    <w:nsid w:val="51194ED1"/>
    <w:multiLevelType w:val="hybridMultilevel"/>
    <w:lvl w:ilvl="0">
      <w:lvlJc w:val="left"/>
      <w:lvlText w:val="•"/>
      <w:numFmt w:val="bullet"/>
      <w:start w:val="1"/>
    </w:lvl>
  </w:abstractNum>
  <w:abstractNum w:abstractNumId="113">
    <w:nsid w:val="44E2ED6C"/>
    <w:multiLevelType w:val="hybridMultilevel"/>
    <w:lvl w:ilvl="0">
      <w:lvlJc w:val="left"/>
      <w:lvlText w:val="•"/>
      <w:numFmt w:val="bullet"/>
      <w:start w:val="1"/>
    </w:lvl>
  </w:abstractNum>
  <w:abstractNum w:abstractNumId="114">
    <w:nsid w:val="2219B33"/>
    <w:multiLevelType w:val="hybridMultilevel"/>
    <w:lvl w:ilvl="0">
      <w:lvlJc w:val="left"/>
      <w:lvlText w:val="•"/>
      <w:numFmt w:val="bullet"/>
      <w:start w:val="1"/>
    </w:lvl>
  </w:abstractNum>
  <w:abstractNum w:abstractNumId="115">
    <w:nsid w:val="773BFBDD"/>
    <w:multiLevelType w:val="hybridMultilevel"/>
    <w:lvl w:ilvl="0">
      <w:lvlJc w:val="left"/>
      <w:lvlText w:val="•"/>
      <w:numFmt w:val="bullet"/>
      <w:start w:val="1"/>
    </w:lvl>
  </w:abstractNum>
  <w:abstractNum w:abstractNumId="116">
    <w:nsid w:val="2C7C62C2"/>
    <w:multiLevelType w:val="hybridMultilevel"/>
    <w:lvl w:ilvl="0">
      <w:lvlJc w:val="left"/>
      <w:lvlText w:val="•"/>
      <w:numFmt w:val="bullet"/>
      <w:start w:val="1"/>
    </w:lvl>
  </w:abstractNum>
  <w:abstractNum w:abstractNumId="117">
    <w:nsid w:val="1A54D7BC"/>
    <w:multiLevelType w:val="hybridMultilevel"/>
    <w:lvl w:ilvl="0">
      <w:lvlJc w:val="left"/>
      <w:lvlText w:val="(%1)"/>
      <w:numFmt w:val="lowerLetter"/>
      <w:start w:val="1"/>
    </w:lvl>
  </w:abstractNum>
  <w:abstractNum w:abstractNumId="118">
    <w:nsid w:val="42E57EF7"/>
    <w:multiLevelType w:val="hybridMultilevel"/>
    <w:lvl w:ilvl="0">
      <w:lvlJc w:val="left"/>
      <w:lvlText w:val="(%1)"/>
      <w:numFmt w:val="lowerLetter"/>
      <w:start w:val="2"/>
    </w:lvl>
  </w:abstractNum>
  <w:abstractNum w:abstractNumId="119">
    <w:nsid w:val="33537CED"/>
    <w:multiLevelType w:val="hybridMultilevel"/>
    <w:lvl w:ilvl="0">
      <w:lvlJc w:val="left"/>
      <w:lvlText w:val="(%1)"/>
      <w:numFmt w:val="lowerRoman"/>
      <w:start w:val="1"/>
    </w:lvl>
  </w:abstractNum>
  <w:abstractNum w:abstractNumId="120">
    <w:nsid w:val="27514ADE"/>
    <w:multiLevelType w:val="hybridMultilevel"/>
    <w:lvl w:ilvl="0">
      <w:lvlJc w:val="left"/>
      <w:lvlText w:val="*"/>
      <w:numFmt w:val="bullet"/>
      <w:start w:val="1"/>
    </w:lvl>
  </w:abstractNum>
  <w:abstractNum w:abstractNumId="121">
    <w:nsid w:val="57071613"/>
    <w:multiLevelType w:val="hybridMultilevel"/>
    <w:lvl w:ilvl="0">
      <w:lvlJc w:val="left"/>
      <w:lvlText w:val="%"/>
      <w:numFmt w:val="bullet"/>
      <w:start w:val="1"/>
    </w:lvl>
  </w:abstractNum>
  <w:abstractNum w:abstractNumId="122">
    <w:nsid w:val="5293BFEF"/>
    <w:multiLevelType w:val="hybridMultilevel"/>
    <w:lvl w:ilvl="0">
      <w:lvlJc w:val="left"/>
      <w:lvlText w:val="(%1)"/>
      <w:numFmt w:val="decimal"/>
      <w:start w:val="1"/>
    </w:lvl>
  </w:abstractNum>
  <w:abstractNum w:abstractNumId="123">
    <w:nsid w:val="38BF53E5"/>
    <w:multiLevelType w:val="hybridMultilevel"/>
    <w:lvl w:ilvl="0">
      <w:lvlJc w:val="left"/>
      <w:lvlText w:val="(%1)"/>
      <w:numFmt w:val="decimal"/>
      <w:start w:val="1"/>
    </w:lvl>
  </w:abstractNum>
  <w:abstractNum w:abstractNumId="124">
    <w:nsid w:val="226F5320"/>
    <w:multiLevelType w:val="hybridMultilevel"/>
    <w:lvl w:ilvl="0">
      <w:lvlJc w:val="left"/>
      <w:lvlText w:val="*"/>
      <w:numFmt w:val="bullet"/>
      <w:start w:val="1"/>
    </w:lvl>
  </w:abstractNum>
  <w:abstractNum w:abstractNumId="125">
    <w:nsid w:val="5A0201C7"/>
    <w:multiLevelType w:val="hybridMultilevel"/>
    <w:lvl w:ilvl="0">
      <w:lvlJc w:val="left"/>
      <w:lvlText w:val="(%1)"/>
      <w:numFmt w:val="decimal"/>
      <w:start w:val="1"/>
    </w:lvl>
  </w:abstractNum>
  <w:abstractNum w:abstractNumId="126">
    <w:nsid w:val="2A9C34E2"/>
    <w:multiLevelType w:val="hybridMultilevel"/>
    <w:lvl w:ilvl="0">
      <w:lvlJc w:val="left"/>
      <w:lvlText w:val="(%1)"/>
      <w:numFmt w:val="lowerLetter"/>
      <w:start w:val="1"/>
    </w:lvl>
  </w:abstractNum>
  <w:abstractNum w:abstractNumId="127">
    <w:nsid w:val="1B7585AB"/>
    <w:multiLevelType w:val="hybridMultilevel"/>
    <w:lvl w:ilvl="0">
      <w:lvlJc w:val="left"/>
      <w:lvlText w:val="(%1)"/>
      <w:numFmt w:val="lowerLetter"/>
      <w:start w:val="2"/>
    </w:lvl>
  </w:abstractNum>
  <w:abstractNum w:abstractNumId="128">
    <w:nsid w:val="612DBDDD"/>
    <w:multiLevelType w:val="hybridMultilevel"/>
    <w:lvl w:ilvl="0">
      <w:lvlJc w:val="left"/>
      <w:lvlText w:val="(%1)"/>
      <w:numFmt w:val="lowerLetter"/>
      <w:start w:val="3"/>
    </w:lvl>
  </w:abstractNum>
  <w:abstractNum w:abstractNumId="129">
    <w:nsid w:val="2109CDA4"/>
    <w:multiLevelType w:val="hybridMultilevel"/>
    <w:lvl w:ilvl="0">
      <w:lvlJc w:val="left"/>
      <w:lvlText w:val="(%1)"/>
      <w:numFmt w:val="lowerLetter"/>
      <w:start w:val="1"/>
    </w:lvl>
  </w:abstractNum>
  <w:abstractNum w:abstractNumId="130">
    <w:nsid w:val="577F5A4D"/>
    <w:multiLevelType w:val="hybridMultilevel"/>
    <w:lvl w:ilvl="0">
      <w:lvlJc w:val="left"/>
      <w:lvlText w:val="(%1)"/>
      <w:numFmt w:val="lowerLetter"/>
      <w:start w:val="4"/>
    </w:lvl>
  </w:abstractNum>
  <w:abstractNum w:abstractNumId="131">
    <w:nsid w:val="2121A81"/>
    <w:multiLevelType w:val="hybridMultilevel"/>
    <w:lvl w:ilvl="0">
      <w:lvlJc w:val="left"/>
      <w:lvlText w:val="(%1)"/>
      <w:numFmt w:val="lowerLetter"/>
      <w:start w:val="7"/>
    </w:lvl>
  </w:abstractNum>
  <w:abstractNum w:abstractNumId="132">
    <w:nsid w:val="6C2CFC88"/>
    <w:multiLevelType w:val="hybridMultilevel"/>
    <w:lvl w:ilvl="0">
      <w:lvlJc w:val="left"/>
      <w:lvlText w:val="(%1)"/>
      <w:numFmt w:val="lowerRoman"/>
      <w:start w:val="1"/>
    </w:lvl>
  </w:abstractNum>
  <w:abstractNum w:abstractNumId="133">
    <w:nsid w:val="6D1BCF1C"/>
    <w:multiLevelType w:val="hybridMultilevel"/>
    <w:lvl w:ilvl="0">
      <w:lvlJc w:val="left"/>
      <w:lvlText w:val="(%1)"/>
      <w:numFmt w:val="lowerRoman"/>
      <w:start w:val="1"/>
    </w:lvl>
  </w:abstractNum>
  <w:abstractNum w:abstractNumId="134">
    <w:nsid w:val="4CE5CA53"/>
    <w:multiLevelType w:val="hybridMultilevel"/>
    <w:lvl w:ilvl="0">
      <w:lvlJc w:val="left"/>
      <w:lvlText w:val="%1."/>
      <w:numFmt w:val="decimal"/>
      <w:start w:val="13"/>
    </w:lvl>
    <w:lvl w:ilvl="1">
      <w:lvlJc w:val="left"/>
      <w:lvlText w:val="(%2)"/>
      <w:numFmt w:val="lowerRoman"/>
      <w:start w:val="2"/>
    </w:lvl>
  </w:abstractNum>
  <w:abstractNum w:abstractNumId="135">
    <w:nsid w:val="29262D1A"/>
    <w:multiLevelType w:val="hybridMultilevel"/>
    <w:lvl w:ilvl="0">
      <w:lvlJc w:val="left"/>
      <w:lvlText w:val="(%1)"/>
      <w:numFmt w:val="lowerRoman"/>
      <w:start w:val="1"/>
    </w:lvl>
  </w:abstractNum>
  <w:abstractNum w:abstractNumId="136">
    <w:nsid w:val="557FB7EE"/>
    <w:multiLevelType w:val="hybridMultilevel"/>
    <w:lvl w:ilvl="0">
      <w:lvlJc w:val="left"/>
      <w:lvlText w:val="(%1)"/>
      <w:numFmt w:val="lowerLetter"/>
      <w:start w:val="6"/>
    </w:lvl>
  </w:abstractNum>
  <w:abstractNum w:abstractNumId="137">
    <w:nsid w:val="436F2BEB"/>
    <w:multiLevelType w:val="hybridMultilevel"/>
    <w:lvl w:ilvl="0">
      <w:lvlJc w:val="left"/>
      <w:lvlText w:val="(%1)"/>
      <w:numFmt w:val="lowerLetter"/>
      <w:start w:val="1"/>
    </w:lvl>
  </w:abstractNum>
  <w:abstractNum w:abstractNumId="138">
    <w:nsid w:val="6C8B4466"/>
    <w:multiLevelType w:val="hybridMultilevel"/>
    <w:lvl w:ilvl="0">
      <w:lvlJc w:val="left"/>
      <w:lvlText w:val="*"/>
      <w:numFmt w:val="bullet"/>
      <w:start w:val="1"/>
    </w:lvl>
  </w:abstractNum>
  <w:abstractNum w:abstractNumId="139">
    <w:nsid w:val="2006E424"/>
    <w:multiLevelType w:val="hybridMultilevel"/>
    <w:lvl w:ilvl="0">
      <w:lvlJc w:val="left"/>
      <w:lvlText w:val="*"/>
      <w:numFmt w:val="bullet"/>
      <w:start w:val="1"/>
    </w:lvl>
  </w:abstractNum>
  <w:abstractNum w:abstractNumId="140">
    <w:nsid w:val="20CC134C"/>
    <w:multiLevelType w:val="hybridMultilevel"/>
    <w:lvl w:ilvl="0">
      <w:lvlJc w:val="left"/>
      <w:lvlText w:val="%1."/>
      <w:numFmt w:val="decimal"/>
      <w:start w:val="22"/>
    </w:lvl>
  </w:abstractNum>
  <w:abstractNum w:abstractNumId="141">
    <w:nsid w:val="95FC93B"/>
    <w:multiLevelType w:val="hybridMultilevel"/>
    <w:lvl w:ilvl="0">
      <w:lvlJc w:val="left"/>
      <w:lvlText w:val="%1."/>
      <w:numFmt w:val="decimal"/>
      <w:start w:val="23"/>
    </w:lvl>
    <w:lvl w:ilvl="1">
      <w:lvlJc w:val="left"/>
      <w:lvlText w:val="(%2)"/>
      <w:numFmt w:val="lowerLetter"/>
      <w:start w:val="1"/>
    </w:lvl>
  </w:abstractNum>
  <w:abstractNum w:abstractNumId="142">
    <w:nsid w:val="41D74679"/>
    <w:multiLevelType w:val="hybridMultilevel"/>
    <w:lvl w:ilvl="0">
      <w:lvlJc w:val="left"/>
      <w:lvlText w:val="(%1)"/>
      <w:numFmt w:val="lowerLetter"/>
      <w:start w:val="2"/>
    </w:lvl>
  </w:abstractNum>
  <w:abstractNum w:abstractNumId="143">
    <w:nsid w:val="71E5621E"/>
    <w:multiLevelType w:val="hybridMultilevel"/>
    <w:lvl w:ilvl="0">
      <w:lvlJc w:val="left"/>
      <w:lvlText w:val="(%1)"/>
      <w:numFmt w:val="lowerLetter"/>
      <w:start w:val="2"/>
    </w:lvl>
    <w:lvl w:ilvl="1">
      <w:lvlJc w:val="left"/>
      <w:lvlText w:val="•"/>
      <w:numFmt w:val="bullet"/>
      <w:start w:val="1"/>
    </w:lvl>
  </w:abstractNum>
  <w:abstractNum w:abstractNumId="144">
    <w:nsid w:val="4E42B6A8"/>
    <w:multiLevelType w:val="hybridMultilevel"/>
    <w:lvl w:ilvl="0">
      <w:lvlJc w:val="left"/>
      <w:lvlText w:val="%1."/>
      <w:numFmt w:val="decimal"/>
      <w:start w:val="23"/>
    </w:lvl>
    <w:lvl w:ilvl="1">
      <w:lvlJc w:val="left"/>
      <w:lvlText w:val="(%2)"/>
      <w:numFmt w:val="lowerLetter"/>
      <w:start w:val="5"/>
    </w:lvl>
  </w:abstractNum>
  <w:abstractNum w:abstractNumId="145">
    <w:nsid w:val="43F8E1AC"/>
    <w:multiLevelType w:val="hybridMultilevel"/>
    <w:lvl w:ilvl="0">
      <w:lvlJc w:val="left"/>
      <w:lvlText w:val="%1."/>
      <w:numFmt w:val="decimal"/>
      <w:start w:val="23"/>
    </w:lvl>
    <w:lvl w:ilvl="1">
      <w:lvlJc w:val="left"/>
      <w:lvlText w:val="•"/>
      <w:numFmt w:val="bullet"/>
      <w:start w:val="1"/>
    </w:lvl>
  </w:abstractNum>
  <w:abstractNum w:abstractNumId="146">
    <w:nsid w:val="69215DFB"/>
    <w:multiLevelType w:val="hybridMultilevel"/>
    <w:lvl w:ilvl="0">
      <w:lvlJc w:val="left"/>
      <w:lvlText w:val="(%1)"/>
      <w:numFmt w:val="lowerRoman"/>
      <w:start w:val="2"/>
    </w:lvl>
  </w:abstractNum>
  <w:abstractNum w:abstractNumId="147">
    <w:nsid w:val="7ABF196A"/>
    <w:multiLevelType w:val="hybridMultilevel"/>
    <w:lvl w:ilvl="0">
      <w:lvlJc w:val="left"/>
      <w:lvlText w:val="*"/>
      <w:numFmt w:val="bullet"/>
      <w:start w:val="1"/>
    </w:lvl>
  </w:abstractNum>
  <w:abstractNum w:abstractNumId="148">
    <w:nsid w:val="5E4DB968"/>
    <w:multiLevelType w:val="hybridMultilevel"/>
    <w:lvl w:ilvl="0">
      <w:lvlJc w:val="left"/>
      <w:lvlText w:val="(%1)"/>
      <w:numFmt w:val="decimal"/>
      <w:start w:val="1"/>
    </w:lvl>
  </w:abstractNum>
  <w:abstractNum w:abstractNumId="149">
    <w:nsid w:val="2C06DCF3"/>
    <w:multiLevelType w:val="hybridMultilevel"/>
    <w:lvl w:ilvl="0">
      <w:lvlJc w:val="left"/>
      <w:lvlText w:val="%1."/>
      <w:numFmt w:val="decimal"/>
      <w:start w:val="26"/>
    </w:lvl>
    <w:lvl w:ilvl="1">
      <w:lvlJc w:val="left"/>
      <w:lvlText w:val="(%2)"/>
      <w:numFmt w:val="decimal"/>
      <w:start w:val="6"/>
    </w:lvl>
  </w:abstractNum>
  <w:abstractNum w:abstractNumId="150">
    <w:nsid w:val="2E129658"/>
    <w:multiLevelType w:val="hybridMultilevel"/>
    <w:lvl w:ilvl="0">
      <w:lvlJc w:val="left"/>
      <w:lvlText w:val="(%1)"/>
      <w:numFmt w:val="decimal"/>
      <w:start w:val="1"/>
    </w:lvl>
  </w:abstractNum>
  <w:abstractNum w:abstractNumId="151">
    <w:nsid w:val="59F0446"/>
    <w:multiLevelType w:val="hybridMultilevel"/>
    <w:lvl w:ilvl="0">
      <w:lvlJc w:val="left"/>
      <w:lvlText w:val="%1."/>
      <w:numFmt w:val="decimal"/>
      <w:start w:val="26"/>
    </w:lvl>
  </w:abstractNum>
  <w:abstractNum w:abstractNumId="152">
    <w:nsid w:val="30DF306"/>
    <w:multiLevelType w:val="hybridMultilevel"/>
    <w:lvl w:ilvl="0">
      <w:lvlJc w:val="left"/>
      <w:lvlText w:val="%1."/>
      <w:numFmt w:val="decimal"/>
      <w:start w:val="26"/>
    </w:lvl>
  </w:abstractNum>
  <w:abstractNum w:abstractNumId="153">
    <w:nsid w:val="A65647"/>
    <w:multiLevelType w:val="hybridMultilevel"/>
    <w:lvl w:ilvl="0">
      <w:lvlJc w:val="left"/>
      <w:lvlText w:val="•"/>
      <w:numFmt w:val="bullet"/>
      <w:start w:val="1"/>
    </w:lvl>
  </w:abstractNum>
  <w:abstractNum w:abstractNumId="154">
    <w:nsid w:val="3E5E582B"/>
    <w:multiLevelType w:val="hybridMultilevel"/>
    <w:lvl w:ilvl="0">
      <w:lvlJc w:val="left"/>
      <w:lvlText w:val="(%1)"/>
      <w:numFmt w:val="decimal"/>
      <w:start w:val="1"/>
    </w:lvl>
  </w:abstractNum>
  <w:abstractNum w:abstractNumId="155">
    <w:nsid w:val="257D4626"/>
    <w:multiLevelType w:val="hybridMultilevel"/>
    <w:lvl w:ilvl="0">
      <w:lvlJc w:val="left"/>
      <w:lvlText w:val="1"/>
      <w:numFmt w:val="bullet"/>
      <w:start w:val="1"/>
    </w:lvl>
    <w:lvl w:ilvl="1">
      <w:lvlJc w:val="left"/>
      <w:lvlText w:val="(%2)"/>
      <w:numFmt w:val="lowerLetter"/>
      <w:start w:val="1"/>
    </w:lvl>
  </w:abstractNum>
  <w:abstractNum w:abstractNumId="156">
    <w:nsid w:val="5AA8580E"/>
    <w:multiLevelType w:val="hybridMultilevel"/>
    <w:lvl w:ilvl="0">
      <w:lvlJc w:val="left"/>
      <w:lvlText w:val="(%1)"/>
      <w:numFmt w:val="lowerLetter"/>
      <w:start w:val="1"/>
    </w:lvl>
  </w:abstractNum>
  <w:abstractNum w:abstractNumId="157">
    <w:nsid w:val="68FA8D0D"/>
    <w:multiLevelType w:val="hybridMultilevel"/>
    <w:lvl w:ilvl="0">
      <w:lvlJc w:val="left"/>
      <w:lvlText w:val="(%1)"/>
      <w:numFmt w:val="lowerLetter"/>
      <w:start w:val="1"/>
    </w:lvl>
  </w:abstractNum>
  <w:abstractNum w:abstractNumId="158">
    <w:nsid w:val="40F2CBD2"/>
    <w:multiLevelType w:val="hybridMultilevel"/>
    <w:lvl w:ilvl="0">
      <w:lvlJc w:val="left"/>
      <w:lvlText w:val="(%1)"/>
      <w:numFmt w:val="lowerLetter"/>
      <w:start w:val="1"/>
    </w:lvl>
  </w:abstractNum>
  <w:abstractNum w:abstractNumId="159">
    <w:nsid w:val="3BD615EB"/>
    <w:multiLevelType w:val="hybridMultilevel"/>
    <w:lvl w:ilvl="0">
      <w:lvlJc w:val="left"/>
      <w:lvlText w:val="(%1)"/>
      <w:numFmt w:val="lowerLetter"/>
      <w:start w:val="2"/>
    </w:lvl>
  </w:abstractNum>
  <w:abstractNum w:abstractNumId="160">
    <w:nsid w:val="A045AB2"/>
    <w:multiLevelType w:val="hybridMultilevel"/>
    <w:lvl w:ilvl="0">
      <w:lvlJc w:val="left"/>
      <w:lvlText w:val="(%1)"/>
      <w:numFmt w:val="lowerLetter"/>
      <w:start w:val="1"/>
    </w:lvl>
  </w:abstractNum>
  <w:abstractNum w:abstractNumId="161">
    <w:nsid w:val="1872261F"/>
    <w:multiLevelType w:val="hybridMultilevel"/>
    <w:lvl w:ilvl="0">
      <w:lvlJc w:val="left"/>
      <w:lvlText w:val="(%1)"/>
      <w:numFmt w:val="lowerLetter"/>
      <w:start w:val="3"/>
    </w:lvl>
  </w:abstractNum>
  <w:abstractNum w:abstractNumId="162">
    <w:nsid w:val="3DE8306C"/>
    <w:multiLevelType w:val="hybridMultilevel"/>
    <w:lvl w:ilvl="0">
      <w:lvlJc w:val="left"/>
      <w:lvlText w:val="(%1)"/>
      <w:numFmt w:val="lowerLetter"/>
      <w:start w:val="1"/>
    </w:lvl>
  </w:abstractNum>
  <w:abstractNum w:abstractNumId="163">
    <w:nsid w:val="7631573A"/>
    <w:multiLevelType w:val="hybridMultilevel"/>
    <w:lvl w:ilvl="0">
      <w:lvlJc w:val="left"/>
      <w:lvlText w:val="(%1)"/>
      <w:numFmt w:val="lowerLetter"/>
      <w:start w:val="1"/>
    </w:lvl>
  </w:abstractNum>
  <w:abstractNum w:abstractNumId="164">
    <w:nsid w:val="58DF53B"/>
    <w:multiLevelType w:val="hybridMultilevel"/>
    <w:lvl w:ilvl="0">
      <w:lvlJc w:val="left"/>
      <w:lvlText w:val="(%1)"/>
      <w:numFmt w:val="lowerRoman"/>
      <w:start w:val="1"/>
    </w:lvl>
    <w:lvl w:ilvl="1">
      <w:lvlJc w:val="left"/>
      <w:lvlText w:val="(%2)"/>
      <w:numFmt w:val="upperLetter"/>
      <w:start w:val="1"/>
    </w:lvl>
  </w:abstractNum>
  <w:abstractNum w:abstractNumId="165">
    <w:nsid w:val="ACDFAC0"/>
    <w:multiLevelType w:val="hybridMultilevel"/>
    <w:lvl w:ilvl="0">
      <w:lvlJc w:val="left"/>
      <w:lvlText w:val="(%1)"/>
      <w:numFmt w:val="lowerLetter"/>
      <w:start w:val="1"/>
    </w:lvl>
  </w:abstractNum>
  <w:abstractNum w:abstractNumId="166">
    <w:nsid w:val="1F578454"/>
    <w:multiLevelType w:val="hybridMultilevel"/>
    <w:lvl w:ilvl="0">
      <w:lvlJc w:val="left"/>
      <w:lvlText w:val="(%1)"/>
      <w:numFmt w:val="lowerLetter"/>
      <w:start w:val="3"/>
    </w:lvl>
  </w:abstractNum>
  <w:abstractNum w:abstractNumId="167">
    <w:nsid w:val="5B0DAD2A"/>
    <w:multiLevelType w:val="hybridMultilevel"/>
    <w:lvl w:ilvl="0">
      <w:lvlJc w:val="left"/>
      <w:lvlText w:val="(%1)"/>
      <w:numFmt w:val="lowerLetter"/>
      <w:start w:val="1"/>
    </w:lvl>
  </w:abstractNum>
  <w:abstractNum w:abstractNumId="168">
    <w:nsid w:val="4E3D26AB"/>
    <w:multiLevelType w:val="hybridMultilevel"/>
    <w:lvl w:ilvl="0">
      <w:lvlJc w:val="left"/>
      <w:lvlText w:val="(%1)"/>
      <w:numFmt w:val="lowerRoman"/>
      <w:start w:val="1"/>
    </w:lvl>
    <w:lvl w:ilvl="1">
      <w:lvlJc w:val="left"/>
      <w:lvlText w:val="(%2)"/>
      <w:numFmt w:val="upperLetter"/>
      <w:start w:val="1"/>
    </w:lvl>
  </w:abstractNum>
  <w:abstractNum w:abstractNumId="169">
    <w:nsid w:val="BE2C8BA"/>
    <w:multiLevelType w:val="hybridMultilevel"/>
    <w:lvl w:ilvl="0">
      <w:lvlJc w:val="left"/>
      <w:lvlText w:val="(%1)"/>
      <w:numFmt w:val="lowerRoman"/>
      <w:start w:val="2"/>
    </w:lvl>
  </w:abstractNum>
  <w:abstractNum w:abstractNumId="170">
    <w:nsid w:val="7B14914E"/>
    <w:multiLevelType w:val="hybridMultilevel"/>
    <w:lvl w:ilvl="0">
      <w:lvlJc w:val="left"/>
      <w:lvlText w:val="(%1)"/>
      <w:numFmt w:val="lowerLetter"/>
      <w:start w:val="1"/>
    </w:lvl>
  </w:abstractNum>
  <w:abstractNum w:abstractNumId="171">
    <w:nsid w:val="6F0939F8"/>
    <w:multiLevelType w:val="hybridMultilevel"/>
    <w:lvl w:ilvl="0">
      <w:lvlJc w:val="left"/>
      <w:lvlText w:val="(%1)"/>
      <w:numFmt w:val="lowerLetter"/>
      <w:start w:val="1"/>
    </w:lvl>
    <w:lvl w:ilvl="1">
      <w:lvlJc w:val="left"/>
      <w:lvlText w:val="(%2)"/>
      <w:numFmt w:val="lowerRoman"/>
      <w:start w:val="1"/>
    </w:lvl>
  </w:abstractNum>
  <w:abstractNum w:abstractNumId="172">
    <w:nsid w:val="154291F6"/>
    <w:multiLevelType w:val="hybridMultilevel"/>
    <w:lvl w:ilvl="0">
      <w:lvlJc w:val="left"/>
      <w:lvlText w:val="(%1)"/>
      <w:numFmt w:val="lowerLetter"/>
      <w:start w:val="1"/>
    </w:lvl>
  </w:abstractNum>
  <w:abstractNum w:abstractNumId="173">
    <w:nsid w:val="3CEBD7C7"/>
    <w:multiLevelType w:val="hybridMultilevel"/>
    <w:lvl w:ilvl="0">
      <w:lvlJc w:val="left"/>
      <w:lvlText w:val="(%1)"/>
      <w:numFmt w:val="lowerLetter"/>
      <w:start w:val="1"/>
    </w:lvl>
  </w:abstractNum>
  <w:abstractNum w:abstractNumId="174">
    <w:nsid w:val="60EE9C16"/>
    <w:multiLevelType w:val="hybridMultilevel"/>
    <w:lvl w:ilvl="0">
      <w:lvlJc w:val="left"/>
      <w:lvlText w:val="(%1)"/>
      <w:numFmt w:val="lowerLetter"/>
      <w:start w:val="1"/>
    </w:lvl>
  </w:abstractNum>
  <w:abstractNum w:abstractNumId="175">
    <w:nsid w:val="6385489E"/>
    <w:multiLevelType w:val="hybridMultilevel"/>
    <w:lvl w:ilvl="0">
      <w:lvlJc w:val="left"/>
      <w:lvlText w:val="(%1)"/>
      <w:numFmt w:val="lowerLetter"/>
      <w:start w:val="1"/>
    </w:lvl>
  </w:abstractNum>
  <w:abstractNum w:abstractNumId="176">
    <w:nsid w:val="E4B973"/>
    <w:multiLevelType w:val="hybridMultilevel"/>
    <w:lvl w:ilvl="0">
      <w:lvlJc w:val="left"/>
      <w:lvlText w:val="(%1)"/>
      <w:numFmt w:val="lowerLetter"/>
      <w:start w:val="1"/>
    </w:lvl>
  </w:abstractNum>
  <w:abstractNum w:abstractNumId="177">
    <w:nsid w:val="4A0FFA11"/>
    <w:multiLevelType w:val="hybridMultilevel"/>
    <w:lvl w:ilvl="0">
      <w:lvlJc w:val="left"/>
      <w:lvlText w:val="(%1)"/>
      <w:numFmt w:val="lowerLetter"/>
      <w:start w:val="1"/>
    </w:lvl>
  </w:abstractNum>
  <w:abstractNum w:abstractNumId="178">
    <w:nsid w:val="5E446208"/>
    <w:multiLevelType w:val="hybridMultilevel"/>
    <w:lvl w:ilvl="0">
      <w:lvlJc w:val="left"/>
      <w:lvlText w:val="(%1)"/>
      <w:numFmt w:val="lowerLetter"/>
      <w:start w:val="1"/>
    </w:lvl>
  </w:abstractNum>
  <w:abstractNum w:abstractNumId="179">
    <w:nsid w:val="5F3272DB"/>
    <w:multiLevelType w:val="hybridMultilevel"/>
    <w:lvl w:ilvl="0">
      <w:lvlJc w:val="left"/>
      <w:lvlText w:val="(%1)"/>
      <w:numFmt w:val="lowerLetter"/>
      <w:start w:val="4"/>
    </w:lvl>
  </w:abstractNum>
  <w:abstractNum w:abstractNumId="180">
    <w:nsid w:val="7616D704"/>
    <w:multiLevelType w:val="hybridMultilevel"/>
    <w:lvl w:ilvl="0">
      <w:lvlJc w:val="left"/>
      <w:lvlText w:val="(%1)"/>
      <w:numFmt w:val="lowerLetter"/>
      <w:start w:val="1"/>
    </w:lvl>
  </w:abstractNum>
  <w:abstractNum w:abstractNumId="181">
    <w:nsid w:val="C56F860"/>
    <w:multiLevelType w:val="hybridMultilevel"/>
    <w:lvl w:ilvl="0">
      <w:lvlJc w:val="left"/>
      <w:lvlText w:val="(%1)"/>
      <w:numFmt w:val="lowerLetter"/>
      <w:start w:val="1"/>
    </w:lvl>
  </w:abstractNum>
  <w:abstractNum w:abstractNumId="182">
    <w:nsid w:val="64D17722"/>
    <w:multiLevelType w:val="hybridMultilevel"/>
    <w:lvl w:ilvl="0">
      <w:lvlJc w:val="left"/>
      <w:lvlText w:val="(%1)"/>
      <w:numFmt w:val="lowerLetter"/>
      <w:start w:val="1"/>
    </w:lvl>
  </w:abstractNum>
  <w:abstractNum w:abstractNumId="183">
    <w:nsid w:val="7924CA0A"/>
    <w:multiLevelType w:val="hybridMultilevel"/>
    <w:lvl w:ilvl="0">
      <w:lvlJc w:val="left"/>
      <w:lvlText w:val="(%1)"/>
      <w:numFmt w:val="lowerRoman"/>
      <w:start w:val="1"/>
    </w:lvl>
    <w:lvl w:ilvl="1">
      <w:lvlJc w:val="left"/>
      <w:lvlText w:val="(%2)"/>
      <w:numFmt w:val="upperLetter"/>
      <w:start w:val="1"/>
    </w:lvl>
  </w:abstractNum>
  <w:abstractNum w:abstractNumId="184">
    <w:nsid w:val="CFD4EA7"/>
    <w:multiLevelType w:val="hybridMultilevel"/>
    <w:lvl w:ilvl="0">
      <w:lvlJc w:val="left"/>
      <w:lvlText w:val="(%1)"/>
      <w:numFmt w:val="lowerRoman"/>
      <w:start w:val="2"/>
    </w:lvl>
  </w:abstractNum>
  <w:abstractNum w:abstractNumId="185">
    <w:nsid w:val="232FCF4D"/>
    <w:multiLevelType w:val="hybridMultilevel"/>
    <w:lvl w:ilvl="0">
      <w:lvlJc w:val="left"/>
      <w:lvlText w:val="(%1)"/>
      <w:numFmt w:val="lowerLetter"/>
      <w:start w:val="1"/>
    </w:lvl>
  </w:abstractNum>
  <w:abstractNum w:abstractNumId="186">
    <w:nsid w:val="1EA21031"/>
    <w:multiLevelType w:val="hybridMultilevel"/>
    <w:lvl w:ilvl="0">
      <w:lvlJc w:val="left"/>
      <w:lvlText w:val="(%1)"/>
      <w:numFmt w:val="lowerLetter"/>
      <w:start w:val="1"/>
    </w:lvl>
    <w:lvl w:ilvl="1">
      <w:lvlJc w:val="left"/>
      <w:lvlText w:val="(%2)"/>
      <w:numFmt w:val="lowerRoman"/>
      <w:start w:val="1"/>
    </w:lvl>
  </w:abstractNum>
  <w:abstractNum w:abstractNumId="187">
    <w:nsid w:val="67A5A6B5"/>
    <w:multiLevelType w:val="hybridMultilevel"/>
    <w:lvl w:ilvl="0">
      <w:lvlJc w:val="left"/>
      <w:lvlText w:val="(%1)"/>
      <w:numFmt w:val="lowerLetter"/>
      <w:start w:val="7"/>
    </w:lvl>
  </w:abstractNum>
  <w:abstractNum w:abstractNumId="188">
    <w:nsid w:val="C2A5C5B"/>
    <w:multiLevelType w:val="hybridMultilevel"/>
    <w:lvl w:ilvl="0">
      <w:lvlJc w:val="left"/>
      <w:lvlText w:val="(%1)"/>
      <w:numFmt w:val="lowerLetter"/>
      <w:start w:val="1"/>
    </w:lvl>
  </w:abstractNum>
  <w:abstractNum w:abstractNumId="189">
    <w:nsid w:val="5F94DC03"/>
    <w:multiLevelType w:val="hybridMultilevel"/>
    <w:lvl w:ilvl="0">
      <w:lvlJc w:val="left"/>
      <w:lvlText w:val="(%1)"/>
      <w:numFmt w:val="lowerLetter"/>
      <w:start w:val="1"/>
    </w:lvl>
  </w:abstractNum>
  <w:abstractNum w:abstractNumId="190">
    <w:nsid w:val="237BBCA0"/>
    <w:multiLevelType w:val="hybridMultilevel"/>
    <w:lvl w:ilvl="0">
      <w:lvlJc w:val="left"/>
      <w:lvlText w:val="(%1)"/>
      <w:numFmt w:val="lowerLetter"/>
      <w:start w:val="1"/>
    </w:lvl>
  </w:abstractNum>
  <w:abstractNum w:abstractNumId="191">
    <w:nsid w:val="162EB70D"/>
    <w:multiLevelType w:val="hybridMultilevel"/>
    <w:lvl w:ilvl="0">
      <w:lvlJc w:val="left"/>
      <w:lvlText w:val="(%1)"/>
      <w:numFmt w:val="lowerLetter"/>
      <w:start w:val="1"/>
    </w:lvl>
  </w:abstractNum>
  <w:abstractNum w:abstractNumId="192">
    <w:nsid w:val="78070222"/>
    <w:multiLevelType w:val="hybridMultilevel"/>
    <w:lvl w:ilvl="0">
      <w:lvlJc w:val="left"/>
      <w:lvlText w:val="(%1)"/>
      <w:numFmt w:val="lowerLetter"/>
      <w:start w:val="1"/>
    </w:lvl>
  </w:abstractNum>
  <w:abstractNum w:abstractNumId="193">
    <w:nsid w:val="6163ED0D"/>
    <w:multiLevelType w:val="hybridMultilevel"/>
    <w:lvl w:ilvl="0">
      <w:lvlJc w:val="left"/>
      <w:lvlText w:val="(%1)"/>
      <w:numFmt w:val="lowerLetter"/>
      <w:start w:val="1"/>
    </w:lvl>
  </w:abstractNum>
  <w:abstractNum w:abstractNumId="194">
    <w:nsid w:val="C600E47"/>
    <w:multiLevelType w:val="hybridMultilevel"/>
    <w:lvl w:ilvl="0">
      <w:lvlJc w:val="left"/>
      <w:lvlText w:val="(%1)"/>
      <w:numFmt w:val="lowerLetter"/>
      <w:start w:val="1"/>
    </w:lvl>
  </w:abstractNum>
  <w:abstractNum w:abstractNumId="195">
    <w:nsid w:val="7D94F75D"/>
    <w:multiLevelType w:val="hybridMultilevel"/>
    <w:lvl w:ilvl="0">
      <w:lvlJc w:val="left"/>
      <w:lvlText w:val="(%1)"/>
      <w:numFmt w:val="lowerLetter"/>
      <w:start w:val="1"/>
    </w:lvl>
  </w:abstractNum>
  <w:abstractNum w:abstractNumId="196">
    <w:nsid w:val="6C31E7CD"/>
    <w:multiLevelType w:val="hybridMultilevel"/>
    <w:lvl w:ilvl="0">
      <w:lvlJc w:val="left"/>
      <w:lvlText w:val="(%1)"/>
      <w:numFmt w:val="lowerLetter"/>
      <w:start w:val="1"/>
    </w:lvl>
  </w:abstractNum>
  <w:abstractNum w:abstractNumId="197">
    <w:nsid w:val="2BB7929B"/>
    <w:multiLevelType w:val="hybridMultilevel"/>
    <w:lvl w:ilvl="0">
      <w:lvlJc w:val="left"/>
      <w:lvlText w:val="(%1)"/>
      <w:numFmt w:val="lowerLetter"/>
      <w:start w:val="1"/>
    </w:lvl>
  </w:abstractNum>
  <w:abstractNum w:abstractNumId="198">
    <w:nsid w:val="58A2A487"/>
    <w:multiLevelType w:val="hybridMultilevel"/>
    <w:lvl w:ilvl="0">
      <w:lvlJc w:val="left"/>
      <w:lvlText w:val="(%1)"/>
      <w:numFmt w:val="lowerLetter"/>
      <w:start w:val="1"/>
    </w:lvl>
  </w:abstractNum>
  <w:abstractNum w:abstractNumId="199">
    <w:nsid w:val="3A6F0E78"/>
    <w:multiLevelType w:val="hybridMultilevel"/>
    <w:lvl w:ilvl="0">
      <w:lvlJc w:val="left"/>
      <w:lvlText w:val="(%1)"/>
      <w:numFmt w:val="lowerLetter"/>
      <w:start w:val="1"/>
    </w:lvl>
  </w:abstractNum>
  <w:abstractNum w:abstractNumId="200">
    <w:nsid w:val="379A5B56"/>
    <w:multiLevelType w:val="hybridMultilevel"/>
    <w:lvl w:ilvl="0">
      <w:lvlJc w:val="left"/>
      <w:lvlText w:val="(%1)"/>
      <w:numFmt w:val="lowerLetter"/>
      <w:start w:val="1"/>
    </w:lvl>
  </w:abstractNum>
  <w:abstractNum w:abstractNumId="201">
    <w:nsid w:val="53B735D5"/>
    <w:multiLevelType w:val="hybridMultilevel"/>
    <w:lvl w:ilvl="0">
      <w:lvlJc w:val="left"/>
      <w:lvlText w:val="(%1)"/>
      <w:numFmt w:val="lowerLetter"/>
      <w:start w:val="2"/>
    </w:lvl>
    <w:lvl w:ilvl="1">
      <w:lvlJc w:val="left"/>
      <w:lvlText w:val="(%2)"/>
      <w:numFmt w:val="lowerRoman"/>
      <w:start w:val="1"/>
    </w:lvl>
  </w:abstractNum>
  <w:abstractNum w:abstractNumId="202">
    <w:nsid w:val="29784870"/>
    <w:multiLevelType w:val="hybridMultilevel"/>
    <w:lvl w:ilvl="0">
      <w:lvlJc w:val="left"/>
      <w:lvlText w:val="(%1)"/>
      <w:numFmt w:val="lowerLetter"/>
      <w:start w:val="1"/>
    </w:lvl>
  </w:abstractNum>
  <w:abstractNum w:abstractNumId="203">
    <w:nsid w:val="4CDCED4C"/>
    <w:multiLevelType w:val="hybridMultilevel"/>
    <w:lvl w:ilvl="0">
      <w:lvlJc w:val="left"/>
      <w:lvlText w:val="(%1)"/>
      <w:numFmt w:val="lowerLetter"/>
      <w:start w:val="1"/>
    </w:lvl>
  </w:abstractNum>
  <w:abstractNum w:abstractNumId="204">
    <w:nsid w:val="10A30D9C"/>
    <w:multiLevelType w:val="hybridMultilevel"/>
    <w:lvl w:ilvl="0">
      <w:lvlJc w:val="left"/>
      <w:lvlText w:val="(%1)"/>
      <w:numFmt w:val="lowerLetter"/>
      <w:start w:val="1"/>
    </w:lvl>
  </w:abstractNum>
  <w:abstractNum w:abstractNumId="205">
    <w:nsid w:val="A66E486"/>
    <w:multiLevelType w:val="hybridMultilevel"/>
    <w:lvl w:ilvl="0">
      <w:lvlJc w:val="left"/>
      <w:lvlText w:val="(%1)"/>
      <w:numFmt w:val="lowerLetter"/>
      <w:start w:val="1"/>
    </w:lvl>
  </w:abstractNum>
  <w:abstractNum w:abstractNumId="206">
    <w:nsid w:val="306235EA"/>
    <w:multiLevelType w:val="hybridMultilevel"/>
    <w:lvl w:ilvl="0">
      <w:lvlJc w:val="left"/>
      <w:lvlText w:val="(%1)"/>
      <w:numFmt w:val="lowerLetter"/>
      <w:start w:val="1"/>
    </w:lvl>
  </w:abstractNum>
  <w:abstractNum w:abstractNumId="207">
    <w:nsid w:val="1187C70F"/>
    <w:multiLevelType w:val="hybridMultilevel"/>
    <w:lvl w:ilvl="0">
      <w:lvlJc w:val="left"/>
      <w:lvlText w:val="(%1)"/>
      <w:numFmt w:val="lowerLetter"/>
      <w:start w:val="1"/>
    </w:lvl>
  </w:abstractNum>
  <w:abstractNum w:abstractNumId="208">
    <w:nsid w:val="5476DE98"/>
    <w:multiLevelType w:val="hybridMultilevel"/>
    <w:lvl w:ilvl="0">
      <w:lvlJc w:val="left"/>
      <w:lvlText w:val="(%1)"/>
      <w:numFmt w:val="lowerLetter"/>
      <w:start w:val="1"/>
    </w:lvl>
  </w:abstractNum>
  <w:abstractNum w:abstractNumId="209">
    <w:nsid w:val="EA697F2"/>
    <w:multiLevelType w:val="hybridMultilevel"/>
    <w:lvl w:ilvl="0">
      <w:lvlJc w:val="left"/>
      <w:lvlText w:val="(%1)"/>
      <w:numFmt w:val="lowerLetter"/>
      <w:start w:val="1"/>
    </w:lvl>
  </w:abstractNum>
  <w:abstractNum w:abstractNumId="210">
    <w:nsid w:val="70BA39EB"/>
    <w:multiLevelType w:val="hybridMultilevel"/>
    <w:lvl w:ilvl="0">
      <w:lvlJc w:val="left"/>
      <w:lvlText w:val="(%1)"/>
      <w:numFmt w:val="lowerLetter"/>
      <w:start w:val="1"/>
    </w:lvl>
    <w:lvl w:ilvl="1">
      <w:lvlJc w:val="left"/>
      <w:lvlText w:val="(%2)"/>
      <w:numFmt w:val="lowerRoman"/>
      <w:start w:val="1"/>
    </w:lvl>
  </w:abstractNum>
  <w:abstractNum w:abstractNumId="211">
    <w:nsid w:val="4A8DB59C"/>
    <w:multiLevelType w:val="hybridMultilevel"/>
    <w:lvl w:ilvl="0">
      <w:lvlJc w:val="left"/>
      <w:lvlText w:val="(%1)"/>
      <w:numFmt w:val="lowerLetter"/>
      <w:start w:val="1"/>
    </w:lvl>
  </w:abstractNum>
  <w:abstractNum w:abstractNumId="212">
    <w:nsid w:val="1AFD9053"/>
    <w:multiLevelType w:val="hybridMultilevel"/>
    <w:lvl w:ilvl="0">
      <w:lvlJc w:val="left"/>
      <w:lvlText w:val="(%1)"/>
      <w:numFmt w:val="lowerLetter"/>
      <w:start w:val="1"/>
    </w:lvl>
  </w:abstractNum>
  <w:abstractNum w:abstractNumId="213">
    <w:nsid w:val="558BB10D"/>
    <w:multiLevelType w:val="hybridMultilevel"/>
    <w:lvl w:ilvl="0">
      <w:lvlJc w:val="left"/>
      <w:lvlText w:val="(%1)"/>
      <w:numFmt w:val="lowerLetter"/>
      <w:start w:val="1"/>
    </w:lvl>
  </w:abstractNum>
  <w:abstractNum w:abstractNumId="214">
    <w:nsid w:val="43B27FA7"/>
    <w:multiLevelType w:val="hybridMultilevel"/>
    <w:lvl w:ilvl="0">
      <w:lvlJc w:val="left"/>
      <w:lvlText w:val="(%1)"/>
      <w:numFmt w:val="lowerLetter"/>
      <w:start w:val="1"/>
    </w:lvl>
  </w:abstractNum>
  <w:abstractNum w:abstractNumId="215">
    <w:nsid w:val="27FADEFA"/>
    <w:multiLevelType w:val="hybridMultilevel"/>
    <w:lvl w:ilvl="0">
      <w:lvlJc w:val="left"/>
      <w:lvlText w:val="(%1)"/>
      <w:numFmt w:val="lowerLetter"/>
      <w:start w:val="1"/>
    </w:lvl>
  </w:abstractNum>
  <w:abstractNum w:abstractNumId="216">
    <w:nsid w:val="78BB805A"/>
    <w:multiLevelType w:val="hybridMultilevel"/>
    <w:lvl w:ilvl="0">
      <w:lvlJc w:val="left"/>
      <w:lvlText w:val="(%1)"/>
      <w:numFmt w:val="lowerLetter"/>
      <w:start w:val="1"/>
    </w:lvl>
  </w:abstractNum>
  <w:abstractNum w:abstractNumId="217">
    <w:nsid w:val="62548FD8"/>
    <w:multiLevelType w:val="hybridMultilevel"/>
    <w:lvl w:ilvl="0">
      <w:lvlJc w:val="left"/>
      <w:lvlText w:val="(%1)"/>
      <w:numFmt w:val="lowerRoman"/>
      <w:start w:val="1"/>
    </w:lvl>
  </w:abstractNum>
  <w:abstractNum w:abstractNumId="218">
    <w:nsid w:val="FA085B0"/>
    <w:multiLevelType w:val="hybridMultilevel"/>
    <w:lvl w:ilvl="0">
      <w:lvlJc w:val="left"/>
      <w:lvlText w:val="(%1)"/>
      <w:numFmt w:val="lowerRoman"/>
      <w:start w:val="2"/>
    </w:lvl>
    <w:lvl w:ilvl="1">
      <w:lvlJc w:val="left"/>
      <w:lvlText w:val="(%2)"/>
      <w:numFmt w:val="upperLetter"/>
      <w:start w:val="1"/>
    </w:lvl>
  </w:abstractNum>
  <w:abstractNum w:abstractNumId="219">
    <w:nsid w:val="4E5DCB5"/>
    <w:multiLevelType w:val="hybridMultilevel"/>
    <w:lvl w:ilvl="0">
      <w:lvlJc w:val="left"/>
      <w:lvlText w:val="(%1)"/>
      <w:numFmt w:val="lowerRoman"/>
      <w:start w:val="9"/>
    </w:lvl>
    <w:lvl w:ilvl="1">
      <w:lvlJc w:val="left"/>
      <w:lvlText w:val="(%2)"/>
      <w:numFmt w:val="upperLetter"/>
      <w:start w:val="1"/>
    </w:lvl>
  </w:abstractNum>
  <w:abstractNum w:abstractNumId="220">
    <w:nsid w:val="41E96BDB"/>
    <w:multiLevelType w:val="hybridMultilevel"/>
    <w:lvl w:ilvl="0">
      <w:lvlJc w:val="left"/>
      <w:lvlText w:val="(%1)"/>
      <w:numFmt w:val="decimal"/>
      <w:start w:val="1"/>
    </w:lvl>
  </w:abstractNum>
  <w:abstractNum w:abstractNumId="221">
    <w:nsid w:val="331C4250"/>
    <w:multiLevelType w:val="hybridMultilevel"/>
    <w:lvl w:ilvl="0">
      <w:lvlJc w:val="left"/>
      <w:lvlText w:val="%1"/>
      <w:numFmt w:val="upperLetter"/>
      <w:start w:val="1"/>
    </w:lvl>
    <w:lvl w:ilvl="1">
      <w:lvlJc w:val="left"/>
      <w:lvlText w:val="(%2)"/>
      <w:numFmt w:val="decimal"/>
      <w:start w:val="2"/>
    </w:lvl>
  </w:abstractNum>
  <w:abstractNum w:abstractNumId="222">
    <w:nsid w:val="1B1493C2"/>
    <w:multiLevelType w:val="hybridMultilevel"/>
    <w:lvl w:ilvl="0">
      <w:lvlJc w:val="left"/>
      <w:lvlText w:val="(%1)"/>
      <w:numFmt w:val="upperLetter"/>
      <w:start w:val="2"/>
    </w:lvl>
    <w:lvl w:ilvl="1">
      <w:lvlJc w:val="left"/>
      <w:lvlText w:val="%2"/>
      <w:numFmt w:val="decimal"/>
      <w:start w:val="1"/>
    </w:lvl>
  </w:abstractNum>
  <w:abstractNum w:abstractNumId="223">
    <w:nsid w:val="39F06DFD"/>
    <w:multiLevelType w:val="hybridMultilevel"/>
    <w:lvl w:ilvl="0">
      <w:lvlJc w:val="left"/>
      <w:lvlText w:val="(%1)"/>
      <w:numFmt w:val="lowerRoman"/>
      <w:start w:val="14"/>
    </w:lvl>
    <w:lvl w:ilvl="1">
      <w:lvlJc w:val="left"/>
      <w:lvlText w:val="(%2)"/>
      <w:numFmt w:val="upperLetter"/>
      <w:start w:val="1"/>
    </w:lvl>
  </w:abstractNum>
  <w:abstractNum w:abstractNumId="224">
    <w:nsid w:val="14802F5D"/>
    <w:multiLevelType w:val="hybridMultilevel"/>
    <w:lvl w:ilvl="0">
      <w:lvlJc w:val="left"/>
      <w:lvlText w:val="(%1)"/>
      <w:numFmt w:val="lowerRoman"/>
      <w:start w:val="22"/>
    </w:lvl>
    <w:lvl w:ilvl="1">
      <w:lvlJc w:val="left"/>
      <w:lvlText w:val="(%2)"/>
      <w:numFmt w:val="upperLetter"/>
      <w:start w:val="1"/>
    </w:lvl>
  </w:abstractNum>
  <w:abstractNum w:abstractNumId="225">
    <w:nsid w:val="2774A209"/>
    <w:multiLevelType w:val="hybridMultilevel"/>
    <w:lvl w:ilvl="0">
      <w:lvlJc w:val="left"/>
      <w:lvlText w:val="%1"/>
      <w:numFmt w:val="lowerLetter"/>
      <w:start w:val="1"/>
    </w:lvl>
    <w:lvl w:ilvl="1">
      <w:lvlJc w:val="left"/>
      <w:lvlText w:val="(%2)"/>
      <w:numFmt w:val="lowerRoman"/>
      <w:start w:val="33"/>
    </w:lvl>
  </w:abstractNum>
  <w:abstractNum w:abstractNumId="226">
    <w:nsid w:val="3785655A"/>
    <w:multiLevelType w:val="hybridMultilevel"/>
    <w:lvl w:ilvl="0">
      <w:lvlJc w:val="left"/>
      <w:lvlText w:val="(%1)"/>
      <w:numFmt w:val="lowerLetter"/>
      <w:start w:val="2"/>
    </w:lvl>
    <w:lvl w:ilvl="1">
      <w:lvlJc w:val="left"/>
      <w:lvlText w:val="%2"/>
      <w:numFmt w:val="lowerRoman"/>
      <w:start w:val="1"/>
    </w:lvl>
  </w:abstractNum>
  <w:abstractNum w:abstractNumId="227">
    <w:nsid w:val="B2172A"/>
    <w:multiLevelType w:val="hybridMultilevel"/>
    <w:lvl w:ilvl="0">
      <w:lvlJc w:val="left"/>
      <w:lvlText w:val="(%1)"/>
      <w:numFmt w:val="lowerLetter"/>
      <w:start w:val="1"/>
    </w:lvl>
  </w:abstractNum>
  <w:abstractNum w:abstractNumId="228">
    <w:nsid w:val="532C34A5"/>
    <w:multiLevelType w:val="hybridMultilevel"/>
    <w:lvl w:ilvl="0">
      <w:lvlJc w:val="left"/>
      <w:lvlText w:val="2"/>
      <w:numFmt w:val="bullet"/>
      <w:start w:val="1"/>
    </w:lvl>
  </w:abstractNum>
  <w:abstractNum w:abstractNumId="229">
    <w:nsid w:val="102809E2"/>
    <w:multiLevelType w:val="hybridMultilevel"/>
    <w:lvl w:ilvl="0">
      <w:lvlJc w:val="left"/>
      <w:lvlText w:val="(%1)"/>
      <w:numFmt w:val="lowerLetter"/>
      <w:start w:val="1"/>
    </w:lvl>
  </w:abstractNum>
  <w:abstractNum w:abstractNumId="230">
    <w:nsid w:val="3B2125A3"/>
    <w:multiLevelType w:val="hybridMultilevel"/>
    <w:lvl w:ilvl="0">
      <w:lvlJc w:val="left"/>
      <w:lvlText w:val="3"/>
      <w:numFmt w:val="bullet"/>
      <w:start w:val="1"/>
    </w:lvl>
  </w:abstractNum>
  <w:abstractNum w:abstractNumId="231">
    <w:nsid w:val="AC68FFB"/>
    <w:multiLevelType w:val="hybridMultilevel"/>
    <w:lvl w:ilvl="0">
      <w:lvlJc w:val="left"/>
      <w:lvlText w:val="4"/>
      <w:numFmt w:val="bullet"/>
      <w:start w:val="1"/>
    </w:lvl>
  </w:abstractNum>
  <w:abstractNum w:abstractNumId="232">
    <w:nsid w:val="63DF3FB7"/>
    <w:multiLevelType w:val="hybridMultilevel"/>
    <w:lvl w:ilvl="0">
      <w:lvlJc w:val="left"/>
      <w:lvlText w:val="(%1)"/>
      <w:numFmt w:val="lowerRoman"/>
      <w:start w:val="1"/>
    </w:lvl>
  </w:abstractNum>
  <w:abstractNum w:abstractNumId="233">
    <w:nsid w:val="64996E13"/>
    <w:multiLevelType w:val="hybridMultilevel"/>
    <w:lvl w:ilvl="0">
      <w:lvlJc w:val="left"/>
      <w:lvlText w:val="5"/>
      <w:numFmt w:val="bullet"/>
      <w:start w:val="1"/>
    </w:lvl>
  </w:abstractNum>
  <w:abstractNum w:abstractNumId="234">
    <w:nsid w:val="57A37D47"/>
    <w:multiLevelType w:val="hybridMultilevel"/>
    <w:lvl w:ilvl="0">
      <w:lvlJc w:val="left"/>
      <w:lvlText w:val="(%1)"/>
      <w:numFmt w:val="lowerLetter"/>
      <w:start w:val="1"/>
    </w:lvl>
    <w:lvl w:ilvl="1">
      <w:lvlJc w:val="left"/>
      <w:lvlText w:val="(%2)"/>
      <w:numFmt w:val="lowerLetter"/>
      <w:start w:val="9"/>
    </w:lvl>
  </w:abstractNum>
  <w:abstractNum w:abstractNumId="235">
    <w:nsid w:val="74824D54"/>
    <w:multiLevelType w:val="hybridMultilevel"/>
    <w:lvl w:ilvl="0">
      <w:lvlJc w:val="left"/>
      <w:lvlText w:val="%1"/>
      <w:numFmt w:val="lowerLetter"/>
      <w:start w:val="1"/>
    </w:lvl>
    <w:lvl w:ilvl="1">
      <w:lvlJc w:val="left"/>
      <w:lvlText w:val="(%2)"/>
      <w:numFmt w:val="lowerRoman"/>
      <w:start w:val="2"/>
    </w:lvl>
  </w:abstractNum>
  <w:abstractNum w:abstractNumId="236">
    <w:nsid w:val="6F00529A"/>
    <w:multiLevelType w:val="hybridMultilevel"/>
    <w:lvl w:ilvl="0">
      <w:lvlJc w:val="left"/>
      <w:lvlText w:val="(%1)"/>
      <w:numFmt w:val="lowerLetter"/>
      <w:start w:val="2"/>
    </w:lvl>
    <w:lvl w:ilvl="1">
      <w:lvlJc w:val="left"/>
      <w:lvlText w:val="%2"/>
      <w:numFmt w:val="lowerRoman"/>
      <w:start w:val="1"/>
    </w:lvl>
  </w:abstractNum>
  <w:abstractNum w:abstractNumId="237">
    <w:nsid w:val="805B331"/>
    <w:multiLevelType w:val="hybridMultilevel"/>
    <w:lvl w:ilvl="0">
      <w:lvlJc w:val="left"/>
      <w:lvlText w:val="(%1)"/>
      <w:numFmt w:val="lowerLetter"/>
      <w:start w:val="1"/>
    </w:lvl>
    <w:lvl w:ilvl="1">
      <w:lvlJc w:val="left"/>
      <w:lvlText w:val="(%2)"/>
      <w:numFmt w:val="lowerRoman"/>
      <w:start w:val="1"/>
    </w:lvl>
  </w:abstractNum>
  <w:abstractNum w:abstractNumId="238">
    <w:nsid w:val="60A1463"/>
    <w:multiLevelType w:val="hybridMultilevel"/>
    <w:lvl w:ilvl="0">
      <w:lvlJc w:val="left"/>
      <w:lvlText w:val="(%1)"/>
      <w:numFmt w:val="lowerLetter"/>
      <w:start w:val="1"/>
    </w:lvl>
  </w:abstractNum>
  <w:abstractNum w:abstractNumId="239">
    <w:nsid w:val="43773132"/>
    <w:multiLevelType w:val="hybridMultilevel"/>
    <w:lvl w:ilvl="0">
      <w:lvlJc w:val="left"/>
      <w:lvlText w:val="6"/>
      <w:numFmt w:val="bullet"/>
      <w:start w:val="1"/>
    </w:lvl>
  </w:abstractNum>
  <w:abstractNum w:abstractNumId="240">
    <w:nsid w:val="16AC4B23"/>
    <w:multiLevelType w:val="hybridMultilevel"/>
    <w:lvl w:ilvl="0">
      <w:lvlJc w:val="left"/>
      <w:lvlText w:val="(%1)"/>
      <w:numFmt w:val="lowerLetter"/>
      <w:start w:val="1"/>
    </w:lvl>
  </w:abstractNum>
  <w:abstractNum w:abstractNumId="241">
    <w:nsid w:val="76C44E4E"/>
    <w:multiLevelType w:val="hybridMultilevel"/>
    <w:lvl w:ilvl="0">
      <w:lvlJc w:val="left"/>
      <w:lvlText w:val="7"/>
      <w:numFmt w:val="bullet"/>
      <w:start w:val="1"/>
    </w:lvl>
  </w:abstractNum>
  <w:abstractNum w:abstractNumId="242">
    <w:nsid w:val="E04E6CE"/>
    <w:multiLevelType w:val="hybridMultilevel"/>
    <w:lvl w:ilvl="0">
      <w:lvlJc w:val="left"/>
      <w:lvlText w:val="(%1)"/>
      <w:numFmt w:val="lowerLetter"/>
      <w:start w:val="1"/>
    </w:lvl>
  </w:abstractNum>
  <w:abstractNum w:abstractNumId="243">
    <w:nsid w:val="31A9DB76"/>
    <w:multiLevelType w:val="hybridMultilevel"/>
    <w:lvl w:ilvl="0">
      <w:lvlJc w:val="left"/>
      <w:lvlText w:val="(%1)"/>
      <w:numFmt w:val="lowerLetter"/>
      <w:start w:val="1"/>
    </w:lvl>
  </w:abstractNum>
  <w:abstractNum w:abstractNumId="244">
    <w:nsid w:val="4C4FFF5B"/>
    <w:multiLevelType w:val="hybridMultilevel"/>
    <w:lvl w:ilvl="0">
      <w:lvlJc w:val="left"/>
      <w:lvlText w:val="(%1)"/>
      <w:numFmt w:val="lowerLetter"/>
      <w:start w:val="1"/>
    </w:lvl>
    <w:lvl w:ilvl="1">
      <w:lvlJc w:val="left"/>
      <w:lvlText w:val="(%2)"/>
      <w:numFmt w:val="lowerRoman"/>
      <w:start w:val="1"/>
    </w:lvl>
  </w:abstractNum>
  <w:abstractNum w:abstractNumId="245">
    <w:nsid w:val="51B76675"/>
    <w:multiLevelType w:val="hybridMultilevel"/>
    <w:lvl w:ilvl="0">
      <w:lvlJc w:val="left"/>
      <w:lvlText w:val="(%1)"/>
      <w:numFmt w:val="lowerLetter"/>
      <w:start w:val="2"/>
    </w:lvl>
    <w:lvl w:ilvl="1">
      <w:lvlJc w:val="left"/>
      <w:lvlText w:val="(%2)"/>
      <w:numFmt w:val="lowerRoman"/>
      <w:start w:val="1"/>
    </w:lvl>
  </w:abstractNum>
  <w:abstractNum w:abstractNumId="246">
    <w:nsid w:val="59A4BA71"/>
    <w:multiLevelType w:val="hybridMultilevel"/>
    <w:lvl w:ilvl="0">
      <w:lvlJc w:val="left"/>
      <w:lvlText w:val="%1"/>
      <w:numFmt w:val="lowerLetter"/>
      <w:start w:val="1"/>
    </w:lvl>
    <w:lvl w:ilvl="1">
      <w:lvlJc w:val="left"/>
      <w:lvlText w:val="(%2)"/>
      <w:numFmt w:val="lowerRoman"/>
      <w:start w:val="1"/>
    </w:lvl>
  </w:abstractNum>
  <w:abstractNum w:abstractNumId="247">
    <w:nsid w:val="450B7FB6"/>
    <w:multiLevelType w:val="hybridMultilevel"/>
    <w:lvl w:ilvl="0">
      <w:lvlJc w:val="left"/>
      <w:lvlText w:val="(%1)"/>
      <w:numFmt w:val="lowerLetter"/>
      <w:start w:val="6"/>
    </w:lvl>
    <w:lvl w:ilvl="1">
      <w:lvlJc w:val="left"/>
      <w:lvlText w:val="%2"/>
      <w:numFmt w:val="lowerRoman"/>
      <w:start w:val="1"/>
    </w:lvl>
  </w:abstractNum>
  <w:abstractNum w:abstractNumId="248">
    <w:nsid w:val="340BF64D"/>
    <w:multiLevelType w:val="hybridMultilevel"/>
    <w:lvl w:ilvl="0">
      <w:lvlJc w:val="left"/>
      <w:lvlText w:val="(%1)"/>
      <w:numFmt w:val="lowerLetter"/>
      <w:start w:val="1"/>
    </w:lvl>
  </w:abstractNum>
  <w:abstractNum w:abstractNumId="249">
    <w:nsid w:val="69454021"/>
    <w:multiLevelType w:val="hybridMultilevel"/>
    <w:lvl w:ilvl="0">
      <w:lvlJc w:val="left"/>
      <w:lvlText w:val="(%1)"/>
      <w:numFmt w:val="lowerLetter"/>
      <w:start w:val="1"/>
    </w:lvl>
  </w:abstractNum>
  <w:abstractNum w:abstractNumId="250">
    <w:nsid w:val="49F15C6B"/>
    <w:multiLevelType w:val="hybridMultilevel"/>
    <w:lvl w:ilvl="0">
      <w:lvlJc w:val="left"/>
      <w:lvlText w:val="(%1)"/>
      <w:numFmt w:val="lowerLetter"/>
      <w:start w:val="5"/>
    </w:lvl>
  </w:abstractNum>
  <w:abstractNum w:abstractNumId="251">
    <w:nsid w:val="75F56228"/>
    <w:multiLevelType w:val="hybridMultilevel"/>
    <w:lvl w:ilvl="0">
      <w:lvlJc w:val="left"/>
      <w:lvlText w:val="(%1)"/>
      <w:numFmt w:val="lowerLetter"/>
      <w:start w:val="12"/>
    </w:lvl>
  </w:abstractNum>
  <w:abstractNum w:abstractNumId="252">
    <w:nsid w:val="1C618271"/>
    <w:multiLevelType w:val="hybridMultilevel"/>
    <w:lvl w:ilvl="0">
      <w:lvlJc w:val="left"/>
      <w:lvlText w:val="(%1)"/>
      <w:numFmt w:val="lowerLetter"/>
      <w:start w:val="1"/>
    </w:lvl>
  </w:abstractNum>
  <w:abstractNum w:abstractNumId="253">
    <w:nsid w:val="6505F02E"/>
    <w:multiLevelType w:val="hybridMultilevel"/>
    <w:lvl w:ilvl="0">
      <w:lvlJc w:val="left"/>
      <w:lvlText w:val="8"/>
      <w:numFmt w:val="bullet"/>
      <w:start w:val="1"/>
    </w:lvl>
  </w:abstractNum>
  <w:abstractNum w:abstractNumId="254">
    <w:nsid w:val="2FE5D025"/>
    <w:multiLevelType w:val="hybridMultilevel"/>
    <w:lvl w:ilvl="0">
      <w:lvlJc w:val="left"/>
      <w:lvlText w:val="(%1)"/>
      <w:numFmt w:val="lowerLetter"/>
      <w:start w:val="1"/>
    </w:lvl>
  </w:abstractNum>
  <w:abstractNum w:abstractNumId="255">
    <w:nsid w:val="30E1B1C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6">
    <w:nsid w:val="C7A9237"/>
    <w:multiLevelType w:val="hybridMultilevel"/>
    <w:lvl w:ilvl="0">
      <w:lvlJc w:val="left"/>
      <w:lvlText w:val="(%1)"/>
      <w:numFmt w:val="lowerLetter"/>
      <w:start w:val="3"/>
    </w:lvl>
  </w:abstractNum>
  <w:abstractNum w:abstractNumId="257">
    <w:nsid w:val="676B3580"/>
    <w:multiLevelType w:val="hybridMultilevel"/>
    <w:lvl w:ilvl="0">
      <w:lvlJc w:val="left"/>
      <w:lvlText w:val="(%1)"/>
      <w:numFmt w:val="lowerLetter"/>
      <w:start w:val="1"/>
    </w:lvl>
  </w:abstractNum>
  <w:abstractNum w:abstractNumId="258">
    <w:nsid w:val="3193C8F9"/>
    <w:multiLevelType w:val="hybridMultilevel"/>
    <w:lvl w:ilvl="0">
      <w:lvlJc w:val="left"/>
      <w:lvlText w:val="9"/>
      <w:numFmt w:val="bullet"/>
      <w:start w:val="1"/>
    </w:lvl>
  </w:abstractNum>
  <w:abstractNum w:abstractNumId="259">
    <w:nsid w:val="5FA6C6DC"/>
    <w:multiLevelType w:val="hybridMultilevel"/>
    <w:lvl w:ilvl="0">
      <w:lvlJc w:val="left"/>
      <w:lvlText w:val="(%1)"/>
      <w:numFmt w:val="lowerLetter"/>
      <w:start w:val="1"/>
    </w:lvl>
  </w:abstractNum>
  <w:abstractNum w:abstractNumId="260">
    <w:nsid w:val="77933F62"/>
    <w:multiLevelType w:val="hybridMultilevel"/>
    <w:lvl w:ilvl="0">
      <w:lvlJc w:val="left"/>
      <w:lvlText w:val="(%1)"/>
      <w:numFmt w:val="lowerLetter"/>
      <w:start w:val="3"/>
    </w:lvl>
  </w:abstractNum>
  <w:abstractNum w:abstractNumId="261">
    <w:nsid w:val="6CB4EE9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2">
    <w:nsid w:val="6A6D56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263">
    <w:nsid w:val="5B727F19"/>
    <w:multiLevelType w:val="hybridMultilevel"/>
    <w:lvl w:ilvl="0">
      <w:lvlJc w:val="left"/>
      <w:lvlText w:val="(%1)"/>
      <w:numFmt w:val="lowerLetter"/>
      <w:start w:val="2"/>
    </w:lvl>
    <w:lvl w:ilvl="1">
      <w:lvlJc w:val="left"/>
      <w:lvlText w:val="(%2)"/>
      <w:numFmt w:val="lowerRoman"/>
      <w:start w:val="1"/>
    </w:lvl>
  </w:abstractNum>
  <w:abstractNum w:abstractNumId="264">
    <w:nsid w:val="514E5CB0"/>
    <w:multiLevelType w:val="hybridMultilevel"/>
    <w:lvl w:ilvl="0">
      <w:lvlJc w:val="left"/>
      <w:lvlText w:val="(%1)"/>
      <w:numFmt w:val="lowerLetter"/>
      <w:start w:val="5"/>
    </w:lvl>
  </w:abstractNum>
  <w:abstractNum w:abstractNumId="265">
    <w:nsid w:val="4210D41E"/>
    <w:multiLevelType w:val="hybridMultilevel"/>
    <w:lvl w:ilvl="0">
      <w:lvlJc w:val="left"/>
      <w:lvlText w:val="(%1)"/>
      <w:numFmt w:val="lowerLetter"/>
      <w:start w:val="1"/>
    </w:lvl>
  </w:abstractNum>
  <w:abstractNum w:abstractNumId="266">
    <w:nsid w:val="4FF4CC6D"/>
    <w:multiLevelType w:val="hybridMultilevel"/>
    <w:lvl w:ilvl="0">
      <w:lvlJc w:val="left"/>
      <w:lvlText w:val="%1"/>
      <w:numFmt w:val="decimal"/>
      <w:start w:val="11"/>
    </w:lvl>
  </w:abstractNum>
  <w:abstractNum w:abstractNumId="267">
    <w:nsid w:val="404EAF4A"/>
    <w:multiLevelType w:val="hybridMultilevel"/>
    <w:lvl w:ilvl="0">
      <w:lvlJc w:val="left"/>
      <w:lvlText w:val="%1"/>
      <w:numFmt w:val="decimal"/>
      <w:start w:val="12"/>
    </w:lvl>
    <w:lvl w:ilvl="1">
      <w:lvlJc w:val="left"/>
      <w:lvlText w:val="(%2)"/>
      <w:numFmt w:val="lowerLetter"/>
      <w:start w:val="1"/>
    </w:lvl>
  </w:abstractNum>
  <w:abstractNum w:abstractNumId="268">
    <w:nsid w:val="4A16874F"/>
    <w:multiLevelType w:val="hybridMultilevel"/>
    <w:lvl w:ilvl="0">
      <w:lvlJc w:val="left"/>
      <w:lvlText w:val="(%1)"/>
      <w:numFmt w:val="lowerLetter"/>
      <w:start w:val="2"/>
    </w:lvl>
  </w:abstractNum>
  <w:abstractNum w:abstractNumId="269">
    <w:nsid w:val="55FEE0D1"/>
    <w:multiLevelType w:val="hybridMultilevel"/>
    <w:lvl w:ilvl="0">
      <w:lvlJc w:val="left"/>
      <w:lvlText w:val="(%1)"/>
      <w:numFmt w:val="lowerLetter"/>
      <w:start w:val="1"/>
    </w:lvl>
  </w:abstractNum>
  <w:abstractNum w:abstractNumId="270">
    <w:nsid w:val="3C5E07C"/>
    <w:multiLevelType w:val="hybridMultilevel"/>
    <w:lvl w:ilvl="0">
      <w:lvlJc w:val="left"/>
      <w:lvlText w:val="(%1)"/>
      <w:numFmt w:val="lowerLetter"/>
      <w:start w:val="1"/>
    </w:lvl>
    <w:lvl w:ilvl="1">
      <w:lvlJc w:val="left"/>
      <w:lvlText w:val="(%2)"/>
      <w:numFmt w:val="lowerLetter"/>
      <w:start w:val="9"/>
    </w:lvl>
  </w:abstractNum>
  <w:abstractNum w:abstractNumId="271">
    <w:nsid w:val="60C2D273"/>
    <w:multiLevelType w:val="hybridMultilevel"/>
    <w:lvl w:ilvl="0">
      <w:lvlJc w:val="left"/>
      <w:lvlText w:val="(%1)"/>
      <w:numFmt w:val="upperLetter"/>
      <w:start w:val="1"/>
    </w:lvl>
  </w:abstractNum>
  <w:abstractNum w:abstractNumId="272">
    <w:nsid w:val="4CC32F1F"/>
    <w:multiLevelType w:val="hybridMultilevel"/>
    <w:lvl w:ilvl="0">
      <w:lvlJc w:val="left"/>
      <w:lvlText w:val="%1"/>
      <w:numFmt w:val="lowerLetter"/>
      <w:start w:val="1"/>
    </w:lvl>
    <w:lvl w:ilvl="1">
      <w:lvlJc w:val="left"/>
      <w:lvlText w:val="(%2)"/>
      <w:numFmt w:val="lowerRoman"/>
      <w:start w:val="2"/>
    </w:lvl>
  </w:abstractNum>
  <w:abstractNum w:abstractNumId="273">
    <w:nsid w:val="11CAC74A"/>
    <w:multiLevelType w:val="hybridMultilevel"/>
    <w:lvl w:ilvl="0">
      <w:lvlJc w:val="left"/>
      <w:lvlText w:val="(%1)"/>
      <w:numFmt w:val="lowerLetter"/>
      <w:start w:val="3"/>
    </w:lvl>
    <w:lvl w:ilvl="1">
      <w:lvlJc w:val="left"/>
      <w:lvlText w:val="%2"/>
      <w:numFmt w:val="lowerRoman"/>
      <w:start w:val="1"/>
    </w:lvl>
  </w:abstractNum>
  <w:abstractNum w:abstractNumId="274">
    <w:nsid w:val="126CADE9"/>
    <w:multiLevelType w:val="hybridMultilevel"/>
    <w:lvl w:ilvl="0">
      <w:lvlJc w:val="left"/>
      <w:lvlText w:val="(%1)"/>
      <w:numFmt w:val="lowerLetter"/>
      <w:start w:val="1"/>
    </w:lvl>
  </w:abstractNum>
  <w:abstractNum w:abstractNumId="275">
    <w:nsid w:val="19132E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6">
    <w:nsid w:val="63822DC0"/>
    <w:multiLevelType w:val="hybridMultilevel"/>
    <w:lvl w:ilvl="0">
      <w:lvlJc w:val="left"/>
      <w:lvlText w:val="%1"/>
      <w:numFmt w:val="lowerLetter"/>
      <w:start w:val="1"/>
    </w:lvl>
    <w:lvl w:ilvl="1">
      <w:lvlJc w:val="left"/>
      <w:lvlText w:val="(%2)"/>
      <w:numFmt w:val="lowerRoman"/>
      <w:start w:val="2"/>
    </w:lvl>
  </w:abstractNum>
  <w:abstractNum w:abstractNumId="277">
    <w:nsid w:val="6C11685A"/>
    <w:multiLevelType w:val="hybridMultilevel"/>
    <w:lvl w:ilvl="0">
      <w:lvlJc w:val="left"/>
      <w:lvlText w:val="(%1)"/>
      <w:numFmt w:val="lowerLetter"/>
      <w:start w:val="2"/>
    </w:lvl>
    <w:lvl w:ilvl="1">
      <w:lvlJc w:val="left"/>
      <w:lvlText w:val="(%2)"/>
      <w:numFmt w:val="lowerRoman"/>
      <w:start w:val="1"/>
    </w:lvl>
  </w:abstractNum>
  <w:abstractNum w:abstractNumId="278">
    <w:nsid w:val="5E1EAE31"/>
    <w:multiLevelType w:val="hybridMultilevel"/>
    <w:lvl w:ilvl="0">
      <w:lvlJc w:val="left"/>
      <w:lvlText w:val="%1"/>
      <w:numFmt w:val="lowerLetter"/>
      <w:start w:val="1"/>
    </w:lvl>
    <w:lvl w:ilvl="1">
      <w:lvlJc w:val="left"/>
      <w:lvlText w:val="(%2)"/>
      <w:numFmt w:val="upperLetter"/>
      <w:start w:val="1"/>
    </w:lvl>
  </w:abstractNum>
  <w:abstractNum w:abstractNumId="279">
    <w:nsid w:val="178E240D"/>
    <w:multiLevelType w:val="hybridMultilevel"/>
    <w:lvl w:ilvl="0">
      <w:lvlJc w:val="left"/>
      <w:lvlText w:val="(%1)"/>
      <w:numFmt w:val="lowerLetter"/>
      <w:start w:val="6"/>
    </w:lvl>
    <w:lvl w:ilvl="1">
      <w:lvlJc w:val="left"/>
      <w:lvlText w:val="%2"/>
      <w:numFmt w:val="upperLetter"/>
      <w:start w:val="1"/>
    </w:lvl>
  </w:abstractNum>
  <w:abstractNum w:abstractNumId="280">
    <w:nsid w:val="5556A87B"/>
    <w:multiLevelType w:val="hybridMultilevel"/>
    <w:lvl w:ilvl="0">
      <w:lvlJc w:val="left"/>
      <w:lvlText w:val="(%1)"/>
      <w:numFmt w:val="lowerLetter"/>
      <w:start w:val="8"/>
    </w:lvl>
  </w:abstractNum>
  <w:abstractNum w:abstractNumId="281">
    <w:nsid w:val="28100A9C"/>
    <w:multiLevelType w:val="hybridMultilevel"/>
    <w:lvl w:ilvl="0">
      <w:lvlJc w:val="left"/>
      <w:lvlText w:val="(%1)"/>
      <w:numFmt w:val="lowerLetter"/>
      <w:start w:val="1"/>
    </w:lvl>
  </w:abstractNum>
  <w:abstractNum w:abstractNumId="282">
    <w:nsid w:val="D838636"/>
    <w:multiLevelType w:val="hybridMultilevel"/>
    <w:lvl w:ilvl="0">
      <w:lvlJc w:val="left"/>
      <w:lvlText w:val="(%1)"/>
      <w:numFmt w:val="lowerLetter"/>
      <w:start w:val="1"/>
    </w:lvl>
    <w:lvl w:ilvl="1">
      <w:lvlJc w:val="left"/>
      <w:lvlText w:val="(%2)"/>
      <w:numFmt w:val="lowerLetter"/>
      <w:start w:val="9"/>
    </w:lvl>
  </w:abstractNum>
  <w:abstractNum w:abstractNumId="283">
    <w:nsid w:val="71B82AED"/>
    <w:multiLevelType w:val="hybridMultilevel"/>
    <w:lvl w:ilvl="0">
      <w:lvlJc w:val="left"/>
      <w:lvlText w:val="%1"/>
      <w:numFmt w:val="lowerLetter"/>
      <w:start w:val="1"/>
    </w:lvl>
    <w:lvl w:ilvl="1">
      <w:lvlJc w:val="left"/>
      <w:lvlText w:val="(%2)"/>
      <w:numFmt w:val="lowerLetter"/>
      <w:start w:val="35"/>
    </w:lvl>
  </w:abstractNum>
  <w:abstractNum w:abstractNumId="284">
    <w:nsid w:val="D15FACA"/>
    <w:multiLevelType w:val="hybridMultilevel"/>
    <w:lvl w:ilvl="0">
      <w:lvlJc w:val="left"/>
      <w:lvlText w:val="(%1)"/>
      <w:numFmt w:val="lowerLetter"/>
      <w:start w:val="3"/>
    </w:lvl>
    <w:lvl w:ilvl="1">
      <w:lvlJc w:val="left"/>
      <w:lvlText w:val="%2"/>
      <w:numFmt w:val="lowerLetter"/>
      <w:start w:val="1"/>
    </w:lvl>
  </w:abstractNum>
  <w:abstractNum w:abstractNumId="285">
    <w:nsid w:val="3D69565B"/>
    <w:multiLevelType w:val="hybridMultilevel"/>
    <w:lvl w:ilvl="0">
      <w:lvlJc w:val="left"/>
      <w:lvlText w:val="(%1)"/>
      <w:numFmt w:val="lowerLetter"/>
      <w:start w:val="1"/>
    </w:lvl>
  </w:abstractNum>
  <w:abstractNum w:abstractNumId="286">
    <w:nsid w:val="2299DCB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87">
    <w:nsid w:val="19908D02"/>
    <w:multiLevelType w:val="hybridMultilevel"/>
    <w:lvl w:ilvl="0">
      <w:lvlJc w:val="left"/>
      <w:lvlText w:val="(%1)"/>
      <w:numFmt w:val="lowerLetter"/>
      <w:start w:val="2"/>
    </w:lvl>
    <w:lvl w:ilvl="1">
      <w:lvlJc w:val="left"/>
      <w:lvlText w:val="(%2)"/>
      <w:numFmt w:val="lowerRoman"/>
      <w:start w:val="1"/>
    </w:lvl>
  </w:abstractNum>
  <w:abstractNum w:abstractNumId="288">
    <w:nsid w:val="24D48BDB"/>
    <w:multiLevelType w:val="hybridMultilevel"/>
    <w:lvl w:ilvl="0">
      <w:lvlJc w:val="left"/>
      <w:lvlText w:val="(%1)"/>
      <w:numFmt w:val="lowerLetter"/>
      <w:start w:val="1"/>
    </w:lvl>
  </w:abstractNum>
  <w:abstractNum w:abstractNumId="289">
    <w:nsid w:val="542DA5B5"/>
    <w:multiLevelType w:val="hybridMultilevel"/>
    <w:lvl w:ilvl="0">
      <w:lvlJc w:val="left"/>
      <w:lvlText w:val="(%1)"/>
      <w:numFmt w:val="lowerLetter"/>
      <w:start w:val="1"/>
    </w:lvl>
    <w:lvl w:ilvl="1">
      <w:lvlJc w:val="left"/>
      <w:lvlText w:val="(%2)"/>
      <w:numFmt w:val="lowerRoman"/>
      <w:start w:val="1"/>
    </w:lvl>
  </w:abstractNum>
  <w:abstractNum w:abstractNumId="290">
    <w:nsid w:val="793753D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91">
    <w:nsid w:val="1C67CB3D"/>
    <w:multiLevelType w:val="hybridMultilevel"/>
    <w:lvl w:ilvl="0">
      <w:lvlJc w:val="left"/>
      <w:lvlText w:val="(%1)"/>
      <w:numFmt w:val="lowerLetter"/>
      <w:start w:val="2"/>
    </w:lvl>
  </w:abstractNum>
  <w:abstractNum w:abstractNumId="292">
    <w:nsid w:val="40E29452"/>
    <w:multiLevelType w:val="hybridMultilevel"/>
    <w:lvl w:ilvl="0">
      <w:lvlJc w:val="left"/>
      <w:lvlText w:val="(%1)"/>
      <w:numFmt w:val="lowerLetter"/>
      <w:start w:val="1"/>
    </w:lvl>
    <w:lvl w:ilvl="1">
      <w:lvlJc w:val="left"/>
      <w:lvlText w:val="(%2)"/>
      <w:numFmt w:val="lowerRoman"/>
      <w:start w:val="1"/>
    </w:lvl>
  </w:abstractNum>
  <w:abstractNum w:abstractNumId="293">
    <w:nsid w:val="63A4AAB6"/>
    <w:multiLevelType w:val="hybridMultilevel"/>
    <w:lvl w:ilvl="0">
      <w:lvlJc w:val="left"/>
      <w:lvlText w:val="(%1)"/>
      <w:numFmt w:val="lowerLetter"/>
      <w:start w:val="2"/>
    </w:lvl>
  </w:abstractNum>
  <w:abstractNum w:abstractNumId="294">
    <w:nsid w:val="77DA4A57"/>
    <w:multiLevelType w:val="hybridMultilevel"/>
    <w:lvl w:ilvl="0">
      <w:lvlJc w:val="left"/>
      <w:lvlText w:val="(%1)"/>
      <w:numFmt w:val="lowerLetter"/>
      <w:start w:val="1"/>
    </w:lvl>
  </w:abstractNum>
  <w:abstractNum w:abstractNumId="295">
    <w:nsid w:val="1230F102"/>
    <w:multiLevelType w:val="hybridMultilevel"/>
    <w:lvl w:ilvl="0">
      <w:lvlJc w:val="left"/>
      <w:lvlText w:val="(%1)"/>
      <w:numFmt w:val="lowerRoman"/>
      <w:start w:val="1"/>
    </w:lvl>
  </w:abstractNum>
  <w:abstractNum w:abstractNumId="296">
    <w:nsid w:val="25B57ED4"/>
    <w:multiLevelType w:val="hybridMultilevel"/>
    <w:lvl w:ilvl="0">
      <w:lvlJc w:val="left"/>
      <w:lvlText w:val="%1"/>
      <w:numFmt w:val="lowerLetter"/>
      <w:start w:val="1"/>
    </w:lvl>
    <w:lvl w:ilvl="1">
      <w:lvlJc w:val="left"/>
      <w:lvlText w:val="(%2)"/>
      <w:numFmt w:val="lowerRoman"/>
      <w:start w:val="2"/>
    </w:lvl>
  </w:abstractNum>
  <w:abstractNum w:abstractNumId="297">
    <w:nsid w:val="47CF16C4"/>
    <w:multiLevelType w:val="hybridMultilevel"/>
    <w:lvl w:ilvl="0">
      <w:lvlJc w:val="left"/>
      <w:lvlText w:val="(%1)"/>
      <w:numFmt w:val="lowerLetter"/>
      <w:start w:val="2"/>
    </w:lvl>
    <w:lvl w:ilvl="1">
      <w:lvlJc w:val="left"/>
      <w:lvlText w:val="%2"/>
      <w:numFmt w:val="lowerRoman"/>
      <w:start w:val="1"/>
    </w:lvl>
  </w:abstractNum>
  <w:abstractNum w:abstractNumId="298">
    <w:nsid w:val="527FA04C"/>
    <w:multiLevelType w:val="hybridMultilevel"/>
    <w:lvl w:ilvl="0">
      <w:lvlJc w:val="left"/>
      <w:lvlText w:val="(%1)"/>
      <w:numFmt w:val="lowerLetter"/>
      <w:start w:val="1"/>
    </w:lvl>
    <w:lvl w:ilvl="1">
      <w:lvlJc w:val="left"/>
      <w:lvlText w:val="(%2)"/>
      <w:numFmt w:val="lowerRoman"/>
      <w:start w:val="1"/>
    </w:lvl>
  </w:abstractNum>
  <w:abstractNum w:abstractNumId="299">
    <w:nsid w:val="6FCC0624"/>
    <w:multiLevelType w:val="hybridMultilevel"/>
    <w:lvl w:ilvl="0">
      <w:lvlJc w:val="left"/>
      <w:lvlText w:val="%1"/>
      <w:numFmt w:val="decimal"/>
      <w:start w:val="15"/>
    </w:lvl>
    <w:lvl w:ilvl="1">
      <w:lvlJc w:val="left"/>
      <w:lvlText w:val="(%2)"/>
      <w:numFmt w:val="lowerLetter"/>
      <w:start w:val="1"/>
    </w:lvl>
  </w:abstractNum>
  <w:abstractNum w:abstractNumId="300">
    <w:nsid w:val="1DCDF795"/>
    <w:multiLevelType w:val="hybridMultilevel"/>
    <w:lvl w:ilvl="0">
      <w:lvlJc w:val="left"/>
      <w:lvlText w:val="(%1)"/>
      <w:numFmt w:val="lowerLetter"/>
      <w:start w:val="2"/>
    </w:lvl>
  </w:abstractNum>
  <w:abstractNum w:abstractNumId="301">
    <w:nsid w:val="564580C8"/>
    <w:multiLevelType w:val="hybridMultilevel"/>
    <w:lvl w:ilvl="0">
      <w:lvlJc w:val="left"/>
      <w:lvlText w:val="(%1)"/>
      <w:numFmt w:val="lowerLetter"/>
      <w:start w:val="1"/>
    </w:lvl>
  </w:abstractNum>
  <w:abstractNum w:abstractNumId="302">
    <w:nsid w:val="508ED897"/>
    <w:multiLevelType w:val="hybridMultilevel"/>
    <w:lvl w:ilvl="0">
      <w:lvlJc w:val="left"/>
      <w:lvlText w:val="%1"/>
      <w:numFmt w:val="decimal"/>
      <w:start w:val="16"/>
    </w:lvl>
  </w:abstractNum>
  <w:abstractNum w:abstractNumId="303">
    <w:nsid w:val="6A9126B5"/>
    <w:multiLevelType w:val="hybridMultilevel"/>
    <w:lvl w:ilvl="0">
      <w:lvlJc w:val="left"/>
      <w:lvlText w:val="(%1)"/>
      <w:numFmt w:val="lowerLetter"/>
      <w:start w:val="1"/>
    </w:lvl>
  </w:abstractNum>
  <w:abstractNum w:abstractNumId="304">
    <w:nsid w:val="68104812"/>
    <w:multiLevelType w:val="hybridMultilevel"/>
    <w:lvl w:ilvl="0">
      <w:lvlJc w:val="left"/>
      <w:lvlText w:val="(%1)"/>
      <w:numFmt w:val="lowerLetter"/>
      <w:start w:val="1"/>
    </w:lvl>
  </w:abstractNum>
  <w:abstractNum w:abstractNumId="305">
    <w:nsid w:val="62FB8680"/>
    <w:multiLevelType w:val="hybridMultilevel"/>
    <w:lvl w:ilvl="0">
      <w:lvlJc w:val="left"/>
      <w:lvlText w:val="(%1)"/>
      <w:numFmt w:val="lowerLetter"/>
      <w:start w:val="1"/>
    </w:lvl>
  </w:abstractNum>
  <w:abstractNum w:abstractNumId="306">
    <w:nsid w:val="3A45530"/>
    <w:multiLevelType w:val="hybridMultilevel"/>
    <w:lvl w:ilvl="0">
      <w:lvlJc w:val="left"/>
      <w:lvlText w:val="%1"/>
      <w:numFmt w:val="decimal"/>
      <w:start w:val="17"/>
    </w:lvl>
    <w:lvl w:ilvl="1">
      <w:lvlJc w:val="left"/>
      <w:lvlText w:val="(%2)"/>
      <w:numFmt w:val="lowerLetter"/>
      <w:start w:val="1"/>
    </w:lvl>
    <w:lvl w:ilvl="2">
      <w:lvlJc w:val="left"/>
      <w:lvlText w:val="(%3)"/>
      <w:numFmt w:val="upperLetter"/>
      <w:start w:val="1"/>
    </w:lvl>
  </w:abstractNum>
  <w:abstractNum w:abstractNumId="307">
    <w:nsid w:val="4B9275D2"/>
    <w:multiLevelType w:val="hybridMultilevel"/>
    <w:lvl w:ilvl="0">
      <w:lvlJc w:val="left"/>
      <w:lvlText w:val="(%1)"/>
      <w:numFmt w:val="lowerRoman"/>
      <w:start w:val="2"/>
    </w:lvl>
  </w:abstractNum>
  <w:abstractNum w:abstractNumId="308">
    <w:nsid w:val="4F0CEEDB"/>
    <w:multiLevelType w:val="hybridMultilevel"/>
    <w:lvl w:ilvl="0">
      <w:lvlJc w:val="left"/>
      <w:lvlText w:val="(%1)"/>
      <w:numFmt w:val="decimal"/>
      <w:start w:val="1"/>
    </w:lvl>
  </w:abstractNum>
  <w:abstractNum w:abstractNumId="309">
    <w:nsid w:val="61C30361"/>
    <w:multiLevelType w:val="hybridMultilevel"/>
    <w:lvl w:ilvl="0">
      <w:lvlJc w:val="left"/>
      <w:lvlText w:val="(%1)"/>
      <w:numFmt w:val="lowerLetter"/>
      <w:start w:val="1"/>
    </w:lvl>
  </w:abstractNum>
  <w:abstractNum w:abstractNumId="310">
    <w:nsid w:val="632099E0"/>
    <w:multiLevelType w:val="hybridMultilevel"/>
    <w:lvl w:ilvl="0">
      <w:lvlJc w:val="left"/>
      <w:lvlText w:val="(%1)"/>
      <w:numFmt w:val="lowerLetter"/>
      <w:start w:val="1"/>
    </w:lvl>
  </w:abstractNum>
  <w:abstractNum w:abstractNumId="311">
    <w:nsid w:val="24639756"/>
    <w:multiLevelType w:val="hybridMultilevel"/>
    <w:lvl w:ilvl="0">
      <w:lvlJc w:val="left"/>
      <w:lvlText w:val="(%1)"/>
      <w:numFmt w:val="lowerLetter"/>
      <w:start w:val="1"/>
    </w:lvl>
  </w:abstractNum>
  <w:abstractNum w:abstractNumId="312">
    <w:nsid w:val="9D30DFD"/>
    <w:multiLevelType w:val="hybridMultilevel"/>
    <w:lvl w:ilvl="0">
      <w:lvlJc w:val="left"/>
      <w:lvlText w:val="(%1)"/>
      <w:numFmt w:val="lowerLetter"/>
      <w:start w:val="2"/>
    </w:lvl>
  </w:abstractNum>
  <w:abstractNum w:abstractNumId="313">
    <w:nsid w:val="70A42016"/>
    <w:multiLevelType w:val="hybridMultilevel"/>
    <w:lvl w:ilvl="0">
      <w:lvlJc w:val="left"/>
      <w:lvlText w:val="(%1)"/>
      <w:numFmt w:val="lowerLetter"/>
      <w:start w:val="1"/>
    </w:lvl>
  </w:abstractNum>
  <w:abstractNum w:abstractNumId="314">
    <w:nsid w:val="161BC243"/>
    <w:multiLevelType w:val="hybridMultilevel"/>
    <w:lvl w:ilvl="0">
      <w:lvlJc w:val="left"/>
      <w:lvlText w:val="(%1)"/>
      <w:numFmt w:val="lowerLetter"/>
      <w:start w:val="1"/>
    </w:lvl>
    <w:lvl w:ilvl="1">
      <w:lvlJc w:val="left"/>
      <w:lvlText w:val="(%2)"/>
      <w:numFmt w:val="lowerRoman"/>
      <w:start w:val="1"/>
    </w:lvl>
  </w:abstractNum>
  <w:abstractNum w:abstractNumId="315">
    <w:nsid w:val="16E908C8"/>
    <w:multiLevelType w:val="hybridMultilevel"/>
    <w:lvl w:ilvl="0">
      <w:lvlJc w:val="left"/>
      <w:lvlText w:val="%1"/>
      <w:numFmt w:val="lowerLetter"/>
      <w:start w:val="1"/>
    </w:lvl>
    <w:lvl w:ilvl="1">
      <w:lvlJc w:val="left"/>
      <w:lvlText w:val="(%2)"/>
      <w:numFmt w:val="lowerLetter"/>
      <w:start w:val="61"/>
    </w:lvl>
  </w:abstractNum>
  <w:abstractNum w:abstractNumId="316">
    <w:nsid w:val="2E0D7671"/>
    <w:multiLevelType w:val="hybridMultilevel"/>
    <w:lvl w:ilvl="0">
      <w:lvlJc w:val="left"/>
      <w:lvlText w:val="(%1)"/>
      <w:numFmt w:val="lowerLetter"/>
      <w:start w:val="3"/>
    </w:lvl>
    <w:lvl w:ilvl="1">
      <w:lvlJc w:val="left"/>
      <w:lvlText w:val="%2"/>
      <w:numFmt w:val="lowerLetter"/>
      <w:start w:val="1"/>
    </w:lvl>
  </w:abstractNum>
  <w:abstractNum w:abstractNumId="317">
    <w:nsid w:val="38B59EFF"/>
    <w:multiLevelType w:val="hybridMultilevel"/>
    <w:lvl w:ilvl="0">
      <w:lvlJc w:val="left"/>
      <w:lvlText w:val="(%1)"/>
      <w:numFmt w:val="lowerLetter"/>
      <w:start w:val="1"/>
    </w:lvl>
  </w:abstractNum>
  <w:abstractNum w:abstractNumId="318">
    <w:nsid w:val="307995CA"/>
    <w:multiLevelType w:val="hybridMultilevel"/>
    <w:lvl w:ilvl="0">
      <w:lvlJc w:val="left"/>
      <w:lvlText w:val="(%1)"/>
      <w:numFmt w:val="lowerLetter"/>
      <w:start w:val="1"/>
    </w:lvl>
  </w:abstractNum>
  <w:abstractNum w:abstractNumId="319">
    <w:nsid w:val="52E2024D"/>
    <w:multiLevelType w:val="hybridMultilevel"/>
    <w:lvl w:ilvl="0">
      <w:lvlJc w:val="left"/>
      <w:lvlText w:val="(%1)"/>
      <w:numFmt w:val="lowerLetter"/>
      <w:start w:val="1"/>
    </w:lvl>
  </w:abstractNum>
  <w:abstractNum w:abstractNumId="320">
    <w:nsid w:val="CE344B5"/>
    <w:multiLevelType w:val="hybridMultilevel"/>
    <w:lvl w:ilvl="0">
      <w:lvlJc w:val="left"/>
      <w:lvlText w:val="(%1)"/>
      <w:numFmt w:val="lowerLetter"/>
      <w:start w:val="1"/>
    </w:lvl>
    <w:lvl w:ilvl="1">
      <w:lvlJc w:val="left"/>
      <w:lvlText w:val="(%2)"/>
      <w:numFmt w:val="lowerRoman"/>
      <w:start w:val="1"/>
    </w:lvl>
  </w:abstractNum>
  <w:abstractNum w:abstractNumId="321">
    <w:nsid w:val="29B0E9A8"/>
    <w:multiLevelType w:val="hybridMultilevel"/>
    <w:lvl w:ilvl="0">
      <w:lvlJc w:val="left"/>
      <w:lvlText w:val="(%1)"/>
      <w:numFmt w:val="lowerLetter"/>
      <w:start w:val="2"/>
    </w:lvl>
  </w:abstractNum>
  <w:abstractNum w:abstractNumId="322">
    <w:nsid w:val="6F49CD8A"/>
    <w:multiLevelType w:val="hybridMultilevel"/>
    <w:lvl w:ilvl="0">
      <w:lvlJc w:val="left"/>
      <w:lvlText w:val="(%1)"/>
      <w:numFmt w:val="lowerLetter"/>
      <w:start w:val="1"/>
    </w:lvl>
  </w:abstractNum>
  <w:abstractNum w:abstractNumId="323">
    <w:nsid w:val="4DC5D907"/>
    <w:multiLevelType w:val="hybridMultilevel"/>
    <w:lvl w:ilvl="0">
      <w:lvlJc w:val="left"/>
      <w:lvlText w:val="(%1)"/>
      <w:numFmt w:val="lowerLetter"/>
      <w:start w:val="1"/>
    </w:lvl>
  </w:abstractNum>
  <w:abstractNum w:abstractNumId="324">
    <w:nsid w:val="D55945E"/>
    <w:multiLevelType w:val="hybridMultilevel"/>
    <w:lvl w:ilvl="0">
      <w:lvlJc w:val="left"/>
      <w:lvlText w:val="(%1)"/>
      <w:numFmt w:val="lowerLetter"/>
      <w:start w:val="1"/>
    </w:lvl>
  </w:abstractNum>
  <w:abstractNum w:abstractNumId="325">
    <w:nsid w:val="672417E1"/>
    <w:multiLevelType w:val="hybridMultilevel"/>
    <w:lvl w:ilvl="0">
      <w:lvlJc w:val="left"/>
      <w:lvlText w:val="(%1)"/>
      <w:numFmt w:val="lowerLetter"/>
      <w:start w:val="1"/>
    </w:lvl>
  </w:abstractNum>
  <w:abstractNum w:abstractNumId="326">
    <w:nsid w:val="5FF6CA09"/>
    <w:multiLevelType w:val="hybridMultilevel"/>
    <w:lvl w:ilvl="0">
      <w:lvlJc w:val="left"/>
      <w:lvlText w:val="(%1)"/>
      <w:numFmt w:val="lowerLetter"/>
      <w:start w:val="1"/>
    </w:lvl>
  </w:abstractNum>
  <w:abstractNum w:abstractNumId="327">
    <w:nsid w:val="330B1333"/>
    <w:multiLevelType w:val="hybridMultilevel"/>
    <w:lvl w:ilvl="0">
      <w:lvlJc w:val="left"/>
      <w:lvlText w:val="(%1)"/>
      <w:numFmt w:val="lowerLetter"/>
      <w:start w:val="1"/>
    </w:lvl>
  </w:abstractNum>
  <w:abstractNum w:abstractNumId="328">
    <w:nsid w:val="2EF32EA6"/>
    <w:multiLevelType w:val="hybridMultilevel"/>
    <w:lvl w:ilvl="0">
      <w:lvlJc w:val="left"/>
      <w:lvlText w:val="(%1)"/>
      <w:numFmt w:val="lowerLetter"/>
      <w:start w:val="1"/>
    </w:lvl>
  </w:abstractNum>
  <w:abstractNum w:abstractNumId="329">
    <w:nsid w:val="32766A55"/>
    <w:multiLevelType w:val="hybridMultilevel"/>
    <w:lvl w:ilvl="0">
      <w:lvlJc w:val="left"/>
      <w:lvlText w:val="(%1)"/>
      <w:numFmt w:val="lowerLetter"/>
      <w:start w:val="1"/>
    </w:lvl>
  </w:abstractNum>
  <w:abstractNum w:abstractNumId="330">
    <w:nsid w:val="22D71957"/>
    <w:multiLevelType w:val="hybridMultilevel"/>
    <w:lvl w:ilvl="0">
      <w:lvlJc w:val="left"/>
      <w:lvlText w:val="(%1)"/>
      <w:numFmt w:val="lowerLetter"/>
      <w:start w:val="1"/>
    </w:lvl>
  </w:abstractNum>
  <w:abstractNum w:abstractNumId="331">
    <w:nsid w:val="4CC1263B"/>
    <w:multiLevelType w:val="hybridMultilevel"/>
    <w:lvl w:ilvl="0">
      <w:lvlJc w:val="left"/>
      <w:lvlText w:val="(%1)"/>
      <w:numFmt w:val="lowerLetter"/>
      <w:start w:val="1"/>
    </w:lvl>
    <w:lvl w:ilvl="1">
      <w:lvlJc w:val="left"/>
      <w:lvlText w:val="(%2)"/>
      <w:numFmt w:val="lowerLetter"/>
      <w:start w:val="9"/>
    </w:lvl>
  </w:abstractNum>
  <w:abstractNum w:abstractNumId="332">
    <w:nsid w:val="8BBEB1D"/>
    <w:multiLevelType w:val="hybridMultilevel"/>
    <w:lvl w:ilvl="0">
      <w:lvlJc w:val="left"/>
      <w:lvlText w:val="(%1)"/>
      <w:numFmt w:val="lowerRoman"/>
      <w:start w:val="2"/>
    </w:lvl>
  </w:abstractNum>
  <w:abstractNum w:abstractNumId="333">
    <w:nsid w:val="7365F1EE"/>
    <w:multiLevelType w:val="hybridMultilevel"/>
    <w:lvl w:ilvl="0">
      <w:lvlJc w:val="left"/>
      <w:lvlText w:val="(%1)"/>
      <w:numFmt w:val="lowerLetter"/>
      <w:start w:val="1"/>
    </w:lvl>
    <w:lvl w:ilvl="1">
      <w:lvlJc w:val="left"/>
      <w:lvlText w:val="(%2)"/>
      <w:numFmt w:val="lowerRoman"/>
      <w:start w:val="1"/>
    </w:lvl>
  </w:abstractNum>
  <w:abstractNum w:abstractNumId="334">
    <w:nsid w:val="37524CF0"/>
    <w:multiLevelType w:val="hybridMultilevel"/>
    <w:lvl w:ilvl="0">
      <w:lvlJc w:val="left"/>
      <w:lvlText w:val="(%1)"/>
      <w:numFmt w:val="lowerLetter"/>
      <w:start w:val="2"/>
    </w:lvl>
  </w:abstractNum>
  <w:abstractNum w:abstractNumId="335">
    <w:nsid w:val="70CC332F"/>
    <w:multiLevelType w:val="hybridMultilevel"/>
    <w:lvl w:ilvl="0">
      <w:lvlJc w:val="left"/>
      <w:lvlText w:val="(%1)"/>
      <w:numFmt w:val="lowerLetter"/>
      <w:start w:val="1"/>
    </w:lvl>
  </w:abstractNum>
  <w:abstractNum w:abstractNumId="336">
    <w:nsid w:val="5661786E"/>
    <w:multiLevelType w:val="hybridMultilevel"/>
    <w:lvl w:ilvl="0">
      <w:lvlJc w:val="left"/>
      <w:lvlText w:val="(%1)"/>
      <w:numFmt w:val="lowerLetter"/>
      <w:start w:val="1"/>
    </w:lvl>
  </w:abstractNum>
  <w:abstractNum w:abstractNumId="337">
    <w:nsid w:val="3AF6A220"/>
    <w:multiLevelType w:val="hybridMultilevel"/>
    <w:lvl w:ilvl="0">
      <w:lvlJc w:val="left"/>
      <w:lvlText w:val="(%1)"/>
      <w:numFmt w:val="lowerLetter"/>
      <w:start w:val="1"/>
    </w:lvl>
    <w:lvl w:ilvl="1">
      <w:lvlJc w:val="left"/>
      <w:lvlText w:val="(%2)"/>
      <w:numFmt w:val="lowerRoman"/>
      <w:start w:val="1"/>
    </w:lvl>
  </w:abstractNum>
  <w:abstractNum w:abstractNumId="338">
    <w:nsid w:val="3C5EA902"/>
    <w:multiLevelType w:val="hybridMultilevel"/>
    <w:lvl w:ilvl="0">
      <w:lvlJc w:val="left"/>
      <w:lvlText w:val="%1"/>
      <w:numFmt w:val="lowerLetter"/>
      <w:start w:val="1"/>
    </w:lvl>
    <w:lvl w:ilvl="1">
      <w:lvlJc w:val="left"/>
      <w:lvlText w:val="(%2)"/>
      <w:numFmt w:val="lowerRoman"/>
      <w:start w:val="7"/>
    </w:lvl>
  </w:abstractNum>
  <w:abstractNum w:abstractNumId="339">
    <w:nsid w:val="256E6749"/>
    <w:multiLevelType w:val="hybridMultilevel"/>
    <w:lvl w:ilvl="0">
      <w:lvlJc w:val="left"/>
      <w:lvlText w:val="(%1)"/>
      <w:numFmt w:val="lowerLetter"/>
      <w:start w:val="3"/>
    </w:lvl>
    <w:lvl w:ilvl="1">
      <w:lvlJc w:val="left"/>
      <w:lvlText w:val="%2"/>
      <w:numFmt w:val="lowerRoman"/>
      <w:start w:val="1"/>
    </w:lvl>
  </w:abstractNum>
  <w:abstractNum w:abstractNumId="340">
    <w:nsid w:val="1CB9A581"/>
    <w:multiLevelType w:val="hybridMultilevel"/>
    <w:lvl w:ilvl="0">
      <w:lvlJc w:val="left"/>
      <w:lvlText w:val="(%1)"/>
      <w:numFmt w:val="lowerLetter"/>
      <w:start w:val="1"/>
    </w:lvl>
  </w:abstractNum>
  <w:abstractNum w:abstractNumId="341">
    <w:nsid w:val="1F7F42E2"/>
    <w:multiLevelType w:val="hybridMultilevel"/>
    <w:lvl w:ilvl="0">
      <w:lvlJc w:val="left"/>
      <w:lvlText w:val="(%1)"/>
      <w:numFmt w:val="lowerLetter"/>
      <w:start w:val="1"/>
    </w:lvl>
    <w:lvl w:ilvl="1">
      <w:lvlJc w:val="left"/>
      <w:lvlText w:val="(%2)"/>
      <w:numFmt w:val="lowerRoman"/>
      <w:start w:val="1"/>
    </w:lvl>
  </w:abstractNum>
  <w:abstractNum w:abstractNumId="342">
    <w:nsid w:val="49D1FEA0"/>
    <w:multiLevelType w:val="hybridMultilevel"/>
    <w:lvl w:ilvl="0">
      <w:lvlJc w:val="left"/>
      <w:lvlText w:val="(%1)"/>
      <w:numFmt w:val="lowerLetter"/>
      <w:start w:val="1"/>
    </w:lvl>
    <w:lvl w:ilvl="1">
      <w:lvlJc w:val="left"/>
      <w:lvlText w:val="(%2)"/>
      <w:numFmt w:val="lowerRoman"/>
      <w:start w:val="1"/>
    </w:lvl>
  </w:abstractNum>
  <w:abstractNum w:abstractNumId="343">
    <w:nsid w:val="268CB37F"/>
    <w:multiLevelType w:val="hybridMultilevel"/>
    <w:lvl w:ilvl="0">
      <w:lvlJc w:val="left"/>
      <w:lvlText w:val="(%1)"/>
      <w:numFmt w:val="lowerLetter"/>
      <w:start w:val="1"/>
    </w:lvl>
    <w:lvl w:ilvl="1">
      <w:lvlJc w:val="left"/>
      <w:lvlText w:val="(%2)"/>
      <w:numFmt w:val="lowerRoman"/>
      <w:start w:val="1"/>
    </w:lvl>
  </w:abstractNum>
  <w:abstractNum w:abstractNumId="344">
    <w:nsid w:val="102362F8"/>
    <w:multiLevelType w:val="hybridMultilevel"/>
    <w:lvl w:ilvl="0">
      <w:lvlJc w:val="left"/>
      <w:lvlText w:val="(%1)"/>
      <w:numFmt w:val="lowerLetter"/>
      <w:start w:val="1"/>
    </w:lvl>
    <w:lvl w:ilvl="1">
      <w:lvlJc w:val="left"/>
      <w:lvlText w:val="(%2)"/>
      <w:numFmt w:val="lowerRoman"/>
      <w:start w:val="1"/>
    </w:lvl>
  </w:abstractNum>
  <w:abstractNum w:abstractNumId="345">
    <w:nsid w:val="5FEDC0E3"/>
    <w:multiLevelType w:val="hybridMultilevel"/>
    <w:lvl w:ilvl="0">
      <w:lvlJc w:val="left"/>
      <w:lvlText w:val="(%1)"/>
      <w:numFmt w:val="lowerLetter"/>
      <w:start w:val="1"/>
    </w:lvl>
  </w:abstractNum>
  <w:abstractNum w:abstractNumId="346">
    <w:nsid w:val="3D75BC47"/>
    <w:multiLevelType w:val="hybridMultilevel"/>
    <w:lvl w:ilvl="0">
      <w:lvlJc w:val="left"/>
      <w:lvlText w:val="(%1)"/>
      <w:numFmt w:val="lowerRoman"/>
      <w:start w:val="1"/>
    </w:lvl>
  </w:abstractNum>
  <w:abstractNum w:abstractNumId="347">
    <w:nsid w:val="3E30D969"/>
    <w:multiLevelType w:val="hybridMultilevel"/>
    <w:lvl w:ilvl="0">
      <w:lvlJc w:val="left"/>
      <w:lvlText w:val="(%1)"/>
      <w:numFmt w:val="lowerLetter"/>
      <w:start w:val="2"/>
    </w:lvl>
    <w:lvl w:ilvl="1">
      <w:lvlJc w:val="left"/>
      <w:lvlText w:val="(%2)"/>
      <w:numFmt w:val="lowerRoman"/>
      <w:start w:val="1"/>
    </w:lvl>
  </w:abstractNum>
  <w:abstractNum w:abstractNumId="348">
    <w:nsid w:val="18A35FE3"/>
    <w:multiLevelType w:val="hybridMultilevel"/>
    <w:lvl w:ilvl="0">
      <w:lvlJc w:val="left"/>
      <w:lvlText w:val="(%1)"/>
      <w:numFmt w:val="lowerLetter"/>
      <w:start w:val="4"/>
    </w:lvl>
  </w:abstractNum>
  <w:abstractNum w:abstractNumId="349">
    <w:nsid w:val="6DEF5211"/>
    <w:multiLevelType w:val="hybridMultilevel"/>
    <w:lvl w:ilvl="0">
      <w:lvlJc w:val="left"/>
      <w:lvlText w:val="(%1)"/>
      <w:numFmt w:val="lowerLetter"/>
      <w:start w:val="1"/>
    </w:lvl>
    <w:lvl w:ilvl="1">
      <w:lvlJc w:val="left"/>
      <w:lvlText w:val="(%2)"/>
      <w:numFmt w:val="lowerRoman"/>
      <w:start w:val="1"/>
    </w:lvl>
  </w:abstractNum>
  <w:abstractNum w:abstractNumId="350">
    <w:nsid w:val="1112DBB6"/>
    <w:multiLevelType w:val="hybridMultilevel"/>
    <w:lvl w:ilvl="0">
      <w:lvlJc w:val="left"/>
      <w:lvlText w:val="(%1)"/>
      <w:numFmt w:val="lowerRoman"/>
      <w:start w:val="3"/>
    </w:lvl>
  </w:abstractNum>
  <w:abstractNum w:abstractNumId="351">
    <w:nsid w:val="2586A498"/>
    <w:multiLevelType w:val="hybridMultilevel"/>
    <w:lvl w:ilvl="0">
      <w:lvlJc w:val="left"/>
      <w:lvlText w:val="(%1)"/>
      <w:numFmt w:val="lowerLetter"/>
      <w:start w:val="2"/>
    </w:lvl>
  </w:abstractNum>
  <w:abstractNum w:abstractNumId="352">
    <w:nsid w:val="17A03BB9"/>
    <w:multiLevelType w:val="hybridMultilevel"/>
    <w:lvl w:ilvl="0">
      <w:lvlJc w:val="left"/>
      <w:lvlText w:val="(%1)"/>
      <w:numFmt w:val="lowerLetter"/>
      <w:start w:val="1"/>
    </w:lvl>
  </w:abstractNum>
  <w:abstractNum w:abstractNumId="353">
    <w:nsid w:val="5CA941"/>
    <w:multiLevelType w:val="hybridMultilevel"/>
    <w:lvl w:ilvl="0">
      <w:lvlJc w:val="left"/>
      <w:lvlText w:val="(%1)"/>
      <w:numFmt w:val="lowerLetter"/>
      <w:start w:val="1"/>
    </w:lvl>
  </w:abstractNum>
  <w:abstractNum w:abstractNumId="354">
    <w:nsid w:val="734C7D9F"/>
    <w:multiLevelType w:val="hybridMultilevel"/>
    <w:lvl w:ilvl="0">
      <w:lvlJc w:val="left"/>
      <w:lvlText w:val="(%1)"/>
      <w:numFmt w:val="lowerLetter"/>
      <w:start w:val="3"/>
    </w:lvl>
  </w:abstractNum>
  <w:abstractNum w:abstractNumId="355">
    <w:nsid w:val="24F5D018"/>
    <w:multiLevelType w:val="hybridMultilevel"/>
    <w:lvl w:ilvl="0">
      <w:lvlJc w:val="left"/>
      <w:lvlText w:val="(%1)"/>
      <w:numFmt w:val="lowerLetter"/>
      <w:start w:val="1"/>
    </w:lvl>
  </w:abstractNum>
  <w:abstractNum w:abstractNumId="356">
    <w:nsid w:val="6780C122"/>
    <w:multiLevelType w:val="hybridMultilevel"/>
    <w:lvl w:ilvl="0">
      <w:lvlJc w:val="left"/>
      <w:lvlText w:val="(%1)"/>
      <w:numFmt w:val="lowerLetter"/>
      <w:start w:val="1"/>
    </w:lvl>
  </w:abstractNum>
  <w:abstractNum w:abstractNumId="357">
    <w:nsid w:val="534347A8"/>
    <w:multiLevelType w:val="hybridMultilevel"/>
    <w:lvl w:ilvl="0">
      <w:lvlJc w:val="left"/>
      <w:lvlText w:val="(%1)"/>
      <w:numFmt w:val="lowerLetter"/>
      <w:start w:val="1"/>
    </w:lvl>
  </w:abstractNum>
  <w:abstractNum w:abstractNumId="358">
    <w:nsid w:val="5800E34B"/>
    <w:multiLevelType w:val="hybridMultilevel"/>
    <w:lvl w:ilvl="0">
      <w:lvlJc w:val="left"/>
      <w:lvlText w:val="(%1)"/>
      <w:numFmt w:val="lowerLetter"/>
      <w:start w:val="1"/>
    </w:lvl>
  </w:abstractNum>
  <w:abstractNum w:abstractNumId="359">
    <w:nsid w:val="1673EFC8"/>
    <w:multiLevelType w:val="hybridMultilevel"/>
    <w:lvl w:ilvl="0">
      <w:lvlJc w:val="left"/>
      <w:lvlText w:val="(%1)"/>
      <w:numFmt w:val="lowerLetter"/>
      <w:start w:val="5"/>
    </w:lvl>
  </w:abstractNum>
  <w:abstractNum w:abstractNumId="360">
    <w:nsid w:val="5B9B1FD"/>
    <w:multiLevelType w:val="hybridMultilevel"/>
    <w:lvl w:ilvl="0">
      <w:lvlJc w:val="left"/>
      <w:lvlText w:val="(%1)"/>
      <w:numFmt w:val="lowerLetter"/>
      <w:start w:val="1"/>
    </w:lvl>
  </w:abstractNum>
  <w:abstractNum w:abstractNumId="361">
    <w:nsid w:val="7AD7FCA2"/>
    <w:multiLevelType w:val="hybridMultilevel"/>
    <w:lvl w:ilvl="0">
      <w:lvlJc w:val="left"/>
      <w:lvlText w:val="(%1)"/>
      <w:numFmt w:val="lowerLetter"/>
      <w:start w:val="1"/>
    </w:lvl>
  </w:abstractNum>
  <w:abstractNum w:abstractNumId="362">
    <w:nsid w:val="63351604"/>
    <w:multiLevelType w:val="hybridMultilevel"/>
    <w:lvl w:ilvl="0">
      <w:lvlJc w:val="left"/>
      <w:lvlText w:val="(%1)"/>
      <w:numFmt w:val="lowerRoman"/>
      <w:start w:val="1"/>
    </w:lvl>
  </w:abstractNum>
  <w:abstractNum w:abstractNumId="363">
    <w:nsid w:val="E759D1A"/>
    <w:multiLevelType w:val="hybridMultilevel"/>
    <w:lvl w:ilvl="0">
      <w:lvlJc w:val="left"/>
      <w:lvlText w:val="(%1)"/>
      <w:numFmt w:val="lowerLetter"/>
      <w:start w:val="1"/>
    </w:lvl>
    <w:lvl w:ilvl="1">
      <w:lvlJc w:val="left"/>
      <w:lvlText w:val="(%2)"/>
      <w:numFmt w:val="lowerRoman"/>
      <w:start w:val="1"/>
    </w:lvl>
  </w:abstractNum>
  <w:abstractNum w:abstractNumId="364">
    <w:nsid w:val="6E3DEE90"/>
    <w:multiLevelType w:val="hybridMultilevel"/>
    <w:lvl w:ilvl="0">
      <w:lvlJc w:val="left"/>
      <w:lvlText w:val="(%1)"/>
      <w:numFmt w:val="lowerLetter"/>
      <w:start w:val="1"/>
    </w:lvl>
    <w:lvl w:ilvl="1">
      <w:lvlJc w:val="left"/>
      <w:lvlText w:val="(%2)"/>
      <w:numFmt w:val="lowerLetter"/>
      <w:start w:val="9"/>
    </w:lvl>
  </w:abstractNum>
  <w:abstractNum w:abstractNumId="365">
    <w:nsid w:val="1A8762F4"/>
    <w:multiLevelType w:val="hybridMultilevel"/>
    <w:lvl w:ilvl="0">
      <w:lvlJc w:val="left"/>
      <w:lvlText w:val="(%1)"/>
      <w:numFmt w:val="lowerRoman"/>
      <w:start w:val="2"/>
    </w:lvl>
  </w:abstractNum>
  <w:abstractNum w:abstractNumId="366">
    <w:nsid w:val="7F41D049"/>
    <w:multiLevelType w:val="hybridMultilevel"/>
    <w:lvl w:ilvl="0">
      <w:lvlJc w:val="left"/>
      <w:lvlText w:val="(%1)"/>
      <w:numFmt w:val="lowerLetter"/>
      <w:start w:val="2"/>
    </w:lvl>
  </w:abstractNum>
  <w:abstractNum w:abstractNumId="367">
    <w:nsid w:val="449F66FE"/>
    <w:multiLevelType w:val="hybridMultilevel"/>
    <w:lvl w:ilvl="0">
      <w:lvlJc w:val="left"/>
      <w:lvlText w:val="(%1)"/>
      <w:numFmt w:val="lowerLetter"/>
      <w:start w:val="1"/>
    </w:lvl>
  </w:abstractNum>
  <w:abstractNum w:abstractNumId="368">
    <w:nsid w:val="557E0515"/>
    <w:multiLevelType w:val="hybridMultilevel"/>
    <w:lvl w:ilvl="0">
      <w:lvlJc w:val="left"/>
      <w:lvlText w:val="(%1)"/>
      <w:numFmt w:val="lowerLetter"/>
      <w:start w:val="1"/>
    </w:lvl>
    <w:lvl w:ilvl="1">
      <w:lvlJc w:val="left"/>
      <w:lvlText w:val="(%2)"/>
      <w:numFmt w:val="lowerRoman"/>
      <w:start w:val="1"/>
    </w:lvl>
  </w:abstractNum>
  <w:abstractNum w:abstractNumId="369">
    <w:nsid w:val="3BA0794B"/>
    <w:multiLevelType w:val="hybridMultilevel"/>
    <w:lvl w:ilvl="0">
      <w:lvlJc w:val="left"/>
      <w:lvlText w:val="(%1)"/>
      <w:numFmt w:val="lowerLetter"/>
      <w:start w:val="2"/>
    </w:lvl>
  </w:abstractNum>
  <w:abstractNum w:abstractNumId="370">
    <w:nsid w:val="6A0DCE48"/>
    <w:multiLevelType w:val="hybridMultilevel"/>
    <w:lvl w:ilvl="0">
      <w:lvlJc w:val="left"/>
      <w:lvlText w:val="(%1)"/>
      <w:numFmt w:val="lowerLetter"/>
      <w:start w:val="1"/>
    </w:lvl>
    <w:lvl w:ilvl="1">
      <w:lvlJc w:val="left"/>
      <w:lvlText w:val="(%2)"/>
      <w:numFmt w:val="lowerRoman"/>
      <w:start w:val="1"/>
    </w:lvl>
  </w:abstractNum>
  <w:abstractNum w:abstractNumId="371">
    <w:nsid w:val="7237AA96"/>
    <w:multiLevelType w:val="hybridMultilevel"/>
    <w:lvl w:ilvl="0">
      <w:lvlJc w:val="left"/>
      <w:lvlText w:val="(%1)"/>
      <w:numFmt w:val="lowerLetter"/>
      <w:start w:val="7"/>
    </w:lvl>
  </w:abstractNum>
  <w:abstractNum w:abstractNumId="372">
    <w:nsid w:val="5B1FBC2D"/>
    <w:multiLevelType w:val="hybridMultilevel"/>
    <w:lvl w:ilvl="0">
      <w:lvlJc w:val="left"/>
      <w:lvlText w:val="(%1)"/>
      <w:numFmt w:val="lowerLetter"/>
      <w:start w:val="1"/>
    </w:lvl>
    <w:lvl w:ilvl="1">
      <w:lvlJc w:val="left"/>
      <w:lvlText w:val="(%2)"/>
      <w:numFmt w:val="upperLetter"/>
      <w:start w:val="1"/>
    </w:lvl>
  </w:abstractNum>
  <w:abstractNum w:abstractNumId="373">
    <w:nsid w:val="33DFCCE8"/>
    <w:multiLevelType w:val="hybridMultilevel"/>
    <w:lvl w:ilvl="0">
      <w:lvlJc w:val="left"/>
      <w:lvlText w:val="(%1)"/>
      <w:numFmt w:val="lowerLetter"/>
      <w:start w:val="1"/>
    </w:lvl>
  </w:abstractNum>
  <w:abstractNum w:abstractNumId="374">
    <w:nsid w:val="18C45E15"/>
    <w:multiLevelType w:val="hybridMultilevel"/>
    <w:lvl w:ilvl="0">
      <w:lvlJc w:val="left"/>
      <w:lvlText w:val="(%1)"/>
      <w:numFmt w:val="lowerLetter"/>
      <w:start w:val="1"/>
    </w:lvl>
  </w:abstractNum>
  <w:abstractNum w:abstractNumId="375">
    <w:nsid w:val="6B431F25"/>
    <w:multiLevelType w:val="hybridMultilevel"/>
    <w:lvl w:ilvl="0">
      <w:lvlJc w:val="left"/>
      <w:lvlText w:val="(%1)"/>
      <w:numFmt w:val="lowerLetter"/>
      <w:start w:val="1"/>
    </w:lvl>
  </w:abstractNum>
  <w:abstractNum w:abstractNumId="376">
    <w:nsid w:val="13CD8DCB"/>
    <w:multiLevelType w:val="hybridMultilevel"/>
    <w:lvl w:ilvl="0">
      <w:lvlJc w:val="left"/>
      <w:lvlText w:val="(%1)"/>
      <w:numFmt w:val="lowerLetter"/>
      <w:start w:val="1"/>
    </w:lvl>
  </w:abstractNum>
  <w:abstractNum w:abstractNumId="377">
    <w:nsid w:val="563A1A5C"/>
    <w:multiLevelType w:val="hybridMultilevel"/>
    <w:lvl w:ilvl="0">
      <w:lvlJc w:val="left"/>
      <w:lvlText w:val="%1"/>
      <w:numFmt w:val="lowerLetter"/>
      <w:start w:val="1"/>
    </w:lvl>
    <w:lvl w:ilvl="1">
      <w:lvlJc w:val="left"/>
      <w:lvlText w:val="(%2)"/>
      <w:numFmt w:val="lowerRoman"/>
      <w:start w:val="1"/>
    </w:lvl>
  </w:abstractNum>
  <w:abstractNum w:abstractNumId="378">
    <w:nsid w:val="2973F88F"/>
    <w:multiLevelType w:val="hybridMultilevel"/>
    <w:lvl w:ilvl="0">
      <w:lvlJc w:val="left"/>
      <w:lvlText w:val="(%1)"/>
      <w:numFmt w:val="lowerLetter"/>
      <w:start w:val="2"/>
    </w:lvl>
    <w:lvl w:ilvl="1">
      <w:lvlJc w:val="left"/>
      <w:lvlText w:val="(%2)"/>
      <w:numFmt w:val="lowerRoman"/>
      <w:start w:val="1"/>
    </w:lvl>
  </w:abstractNum>
  <w:abstractNum w:abstractNumId="379">
    <w:nsid w:val="2C70EDAE"/>
    <w:multiLevelType w:val="hybridMultilevel"/>
    <w:lvl w:ilvl="0">
      <w:lvlJc w:val="left"/>
      <w:lvlText w:val="(%1)"/>
      <w:numFmt w:val="lowerLetter"/>
      <w:start w:val="1"/>
    </w:lvl>
  </w:abstractNum>
  <w:abstractNum w:abstractNumId="380">
    <w:nsid w:val="44296C6D"/>
    <w:multiLevelType w:val="hybridMultilevel"/>
    <w:lvl w:ilvl="0">
      <w:lvlJc w:val="left"/>
      <w:lvlText w:val="(%1)"/>
      <w:numFmt w:val="lowerLetter"/>
      <w:start w:val="1"/>
    </w:lvl>
  </w:abstractNum>
  <w:abstractNum w:abstractNumId="381">
    <w:nsid w:val="3A86D445"/>
    <w:multiLevelType w:val="hybridMultilevel"/>
    <w:lvl w:ilvl="0">
      <w:lvlJc w:val="left"/>
      <w:lvlText w:val="(%1)"/>
      <w:numFmt w:val="lowerLetter"/>
      <w:start w:val="1"/>
    </w:lvl>
    <w:lvl w:ilvl="1">
      <w:lvlJc w:val="left"/>
      <w:lvlText w:val="(%2)"/>
      <w:numFmt w:val="lowerRoman"/>
      <w:start w:val="1"/>
    </w:lvl>
  </w:abstractNum>
  <w:abstractNum w:abstractNumId="382">
    <w:nsid w:val="51F79246"/>
    <w:multiLevelType w:val="hybridMultilevel"/>
    <w:lvl w:ilvl="0">
      <w:lvlJc w:val="left"/>
      <w:lvlText w:val="%1"/>
      <w:numFmt w:val="lowerLetter"/>
      <w:start w:val="1"/>
    </w:lvl>
    <w:lvl w:ilvl="1">
      <w:lvlJc w:val="left"/>
      <w:lvlText w:val="(%2)"/>
      <w:numFmt w:val="lowerLetter"/>
      <w:start w:val="61"/>
    </w:lvl>
  </w:abstractNum>
  <w:abstractNum w:abstractNumId="383">
    <w:nsid w:val="5BC9A827"/>
    <w:multiLevelType w:val="hybridMultilevel"/>
    <w:lvl w:ilvl="0">
      <w:lvlJc w:val="left"/>
      <w:lvlText w:val="(%1)"/>
      <w:numFmt w:val="lowerLetter"/>
      <w:start w:val="2"/>
    </w:lvl>
    <w:lvl w:ilvl="1">
      <w:lvlJc w:val="left"/>
      <w:lvlText w:val="%2"/>
      <w:numFmt w:val="lowerLetter"/>
      <w:start w:val="1"/>
    </w:lvl>
  </w:abstractNum>
  <w:abstractNum w:abstractNumId="384">
    <w:nsid w:val="3AE37D86"/>
    <w:multiLevelType w:val="hybridMultilevel"/>
    <w:lvl w:ilvl="0">
      <w:lvlJc w:val="left"/>
      <w:lvlText w:val="(%1)"/>
      <w:numFmt w:val="lowerLetter"/>
      <w:start w:val="1"/>
    </w:lvl>
    <w:lvl w:ilvl="1">
      <w:lvlJc w:val="left"/>
      <w:lvlText w:val="(%2)"/>
      <w:numFmt w:val="lowerRoman"/>
      <w:start w:val="1"/>
    </w:lvl>
  </w:abstractNum>
  <w:abstractNum w:abstractNumId="385">
    <w:nsid w:val="45440F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86">
    <w:nsid w:val="BF783F"/>
    <w:multiLevelType w:val="hybridMultilevel"/>
    <w:lvl w:ilvl="0">
      <w:lvlJc w:val="left"/>
      <w:lvlText w:val="(%1)"/>
      <w:numFmt w:val="lowerLetter"/>
      <w:start w:val="1"/>
    </w:lvl>
  </w:abstractNum>
  <w:abstractNum w:abstractNumId="387">
    <w:nsid w:val="22643EA9"/>
    <w:multiLevelType w:val="hybridMultilevel"/>
    <w:lvl w:ilvl="0">
      <w:lvlJc w:val="left"/>
      <w:lvlText w:val="(%1)"/>
      <w:numFmt w:val="lowerLetter"/>
      <w:start w:val="4"/>
    </w:lvl>
  </w:abstractNum>
  <w:abstractNum w:abstractNumId="388">
    <w:nsid w:val="1887578D"/>
    <w:multiLevelType w:val="hybridMultilevel"/>
    <w:lvl w:ilvl="0">
      <w:lvlJc w:val="left"/>
      <w:lvlText w:val="(%1)"/>
      <w:numFmt w:val="lowerLetter"/>
      <w:start w:val="1"/>
    </w:lvl>
  </w:abstractNum>
  <w:abstractNum w:abstractNumId="389">
    <w:nsid w:val="58C05B8A"/>
    <w:multiLevelType w:val="hybridMultilevel"/>
    <w:lvl w:ilvl="0">
      <w:lvlJc w:val="left"/>
      <w:lvlText w:val="(%1)"/>
      <w:numFmt w:val="lowerLetter"/>
      <w:start w:val="1"/>
    </w:lvl>
  </w:abstractNum>
  <w:abstractNum w:abstractNumId="390">
    <w:nsid w:val="38D82E71"/>
    <w:multiLevelType w:val="hybridMultilevel"/>
    <w:lvl w:ilvl="0">
      <w:lvlJc w:val="left"/>
      <w:lvlText w:val="(%1)"/>
      <w:numFmt w:val="lowerLetter"/>
      <w:start w:val="2"/>
    </w:lvl>
  </w:abstractNum>
  <w:abstractNum w:abstractNumId="391">
    <w:nsid w:val="1E41098A"/>
    <w:multiLevelType w:val="hybridMultilevel"/>
    <w:lvl w:ilvl="0">
      <w:lvlJc w:val="left"/>
      <w:lvlText w:val="%1"/>
      <w:numFmt w:val="decimal"/>
      <w:start w:val="24"/>
    </w:lvl>
  </w:abstractNum>
  <w:abstractNum w:abstractNumId="392">
    <w:nsid w:val="5398582C"/>
    <w:multiLevelType w:val="hybridMultilevel"/>
    <w:lvl w:ilvl="0">
      <w:lvlJc w:val="left"/>
      <w:lvlText w:val="(%1)"/>
      <w:numFmt w:val="lowerLetter"/>
      <w:start w:val="1"/>
    </w:lvl>
  </w:abstractNum>
  <w:abstractNum w:abstractNumId="393">
    <w:nsid w:val="1C0D4475"/>
    <w:multiLevelType w:val="hybridMultilevel"/>
    <w:lvl w:ilvl="0">
      <w:lvlJc w:val="left"/>
      <w:lvlText w:val="(%1)"/>
      <w:numFmt w:val="lowerLetter"/>
      <w:start w:val="1"/>
    </w:lvl>
  </w:abstractNum>
  <w:abstractNum w:abstractNumId="394">
    <w:nsid w:val="2CB6A6A4"/>
    <w:multiLevelType w:val="hybridMultilevel"/>
    <w:lvl w:ilvl="0">
      <w:lvlJc w:val="left"/>
      <w:lvlText w:val="(%1)"/>
      <w:numFmt w:val="lowerLetter"/>
      <w:start w:val="1"/>
    </w:lvl>
  </w:abstractNum>
  <w:abstractNum w:abstractNumId="395">
    <w:nsid w:val="41D646BC"/>
    <w:multiLevelType w:val="hybridMultilevel"/>
    <w:lvl w:ilvl="0">
      <w:lvlJc w:val="left"/>
      <w:lvlText w:val="(%1)"/>
      <w:numFmt w:val="lowerLetter"/>
      <w:start w:val="1"/>
    </w:lvl>
  </w:abstractNum>
  <w:abstractNum w:abstractNumId="396">
    <w:nsid w:val="3694A76A"/>
    <w:multiLevelType w:val="hybridMultilevel"/>
    <w:lvl w:ilvl="0">
      <w:lvlJc w:val="left"/>
      <w:lvlText w:val="(%1)"/>
      <w:numFmt w:val="lowerLetter"/>
      <w:start w:val="1"/>
    </w:lvl>
  </w:abstractNum>
  <w:abstractNum w:abstractNumId="397">
    <w:nsid w:val="2BF876EE"/>
    <w:multiLevelType w:val="hybridMultilevel"/>
    <w:lvl w:ilvl="0">
      <w:lvlJc w:val="left"/>
      <w:lvlText w:val="%1"/>
      <w:numFmt w:val="decimal"/>
      <w:start w:val="25"/>
    </w:lvl>
  </w:abstractNum>
  <w:abstractNum w:abstractNumId="398">
    <w:nsid w:val="675ADBA"/>
    <w:multiLevelType w:val="hybridMultilevel"/>
    <w:lvl w:ilvl="0">
      <w:lvlJc w:val="left"/>
      <w:lvlText w:val="(%1)"/>
      <w:numFmt w:val="lowerLetter"/>
      <w:start w:val="1"/>
    </w:lvl>
    <w:lvl w:ilvl="1">
      <w:lvlJc w:val="left"/>
      <w:lvlText w:val="(%2)"/>
      <w:numFmt w:val="lowerRoman"/>
      <w:start w:val="1"/>
    </w:lvl>
  </w:abstractNum>
  <w:abstractNum w:abstractNumId="399">
    <w:nsid w:val="C12AC7F"/>
    <w:multiLevelType w:val="hybridMultilevel"/>
    <w:lvl w:ilvl="0">
      <w:lvlJc w:val="left"/>
      <w:lvlText w:val="(%1)"/>
      <w:numFmt w:val="lowerLetter"/>
      <w:start w:val="2"/>
    </w:lvl>
  </w:abstractNum>
  <w:abstractNum w:abstractNumId="400">
    <w:nsid w:val="6798F039"/>
    <w:multiLevelType w:val="hybridMultilevel"/>
    <w:lvl w:ilvl="0">
      <w:lvlJc w:val="left"/>
      <w:lvlText w:val="(%1)"/>
      <w:numFmt w:val="lowerLetter"/>
      <w:start w:val="1"/>
    </w:lvl>
  </w:abstractNum>
  <w:abstractNum w:abstractNumId="401">
    <w:nsid w:val="70837C02"/>
    <w:multiLevelType w:val="hybridMultilevel"/>
    <w:lvl w:ilvl="0">
      <w:lvlJc w:val="left"/>
      <w:lvlText w:val="(%1)"/>
      <w:numFmt w:val="lowerLetter"/>
      <w:start w:val="1"/>
    </w:lvl>
  </w:abstractNum>
  <w:abstractNum w:abstractNumId="402">
    <w:nsid w:val="7E4A5715"/>
    <w:multiLevelType w:val="hybridMultilevel"/>
    <w:lvl w:ilvl="0">
      <w:lvlJc w:val="left"/>
      <w:lvlText w:val="(%1)"/>
      <w:numFmt w:val="lowerLetter"/>
      <w:start w:val="1"/>
    </w:lvl>
  </w:abstractNum>
  <w:abstractNum w:abstractNumId="403">
    <w:nsid w:val="42B8AC67"/>
    <w:multiLevelType w:val="hybridMultilevel"/>
    <w:lvl w:ilvl="0">
      <w:lvlJc w:val="left"/>
      <w:lvlText w:val="(%1)"/>
      <w:numFmt w:val="lowerLetter"/>
      <w:start w:val="1"/>
    </w:lvl>
  </w:abstractNum>
  <w:abstractNum w:abstractNumId="404">
    <w:nsid w:val="246348EA"/>
    <w:multiLevelType w:val="hybridMultilevel"/>
    <w:lvl w:ilvl="0">
      <w:lvlJc w:val="left"/>
      <w:lvlText w:val="(%1)"/>
      <w:numFmt w:val="lowerLetter"/>
      <w:start w:val="1"/>
    </w:lvl>
    <w:lvl w:ilvl="1">
      <w:lvlJc w:val="left"/>
      <w:lvlText w:val="(%2)"/>
      <w:numFmt w:val="lowerRoman"/>
      <w:start w:val="1"/>
    </w:lvl>
  </w:abstractNum>
  <w:abstractNum w:abstractNumId="405">
    <w:nsid w:val="170EB52B"/>
    <w:multiLevelType w:val="hybridMultilevel"/>
    <w:lvl w:ilvl="0">
      <w:lvlJc w:val="left"/>
      <w:lvlText w:val="(%1)"/>
      <w:numFmt w:val="lowerLetter"/>
      <w:start w:val="2"/>
    </w:lvl>
  </w:abstractNum>
  <w:abstractNum w:abstractNumId="406">
    <w:nsid w:val="2DFBCB8C"/>
    <w:multiLevelType w:val="hybridMultilevel"/>
    <w:lvl w:ilvl="0">
      <w:lvlJc w:val="left"/>
      <w:lvlText w:val="(%1)"/>
      <w:numFmt w:val="lowerLetter"/>
      <w:start w:val="1"/>
    </w:lvl>
  </w:abstractNum>
  <w:abstractNum w:abstractNumId="407">
    <w:nsid w:val="3830D6B6"/>
    <w:multiLevelType w:val="hybridMultilevel"/>
    <w:lvl w:ilvl="0">
      <w:lvlJc w:val="left"/>
      <w:lvlText w:val="(%1)"/>
      <w:numFmt w:val="lowerLetter"/>
      <w:start w:val="1"/>
    </w:lvl>
  </w:abstractNum>
  <w:abstractNum w:abstractNumId="408">
    <w:nsid w:val="6D48CF87"/>
    <w:multiLevelType w:val="hybridMultilevel"/>
    <w:lvl w:ilvl="0">
      <w:lvlJc w:val="left"/>
      <w:lvlText w:val="(%1)"/>
      <w:numFmt w:val="lowerLetter"/>
      <w:start w:val="4"/>
    </w:lvl>
  </w:abstractNum>
  <w:abstractNum w:abstractNumId="409">
    <w:nsid w:val="576FC41B"/>
    <w:multiLevelType w:val="hybridMultilevel"/>
    <w:lvl w:ilvl="0">
      <w:lvlJc w:val="left"/>
      <w:lvlText w:val="(%1)"/>
      <w:numFmt w:val="lowerLetter"/>
      <w:start w:val="1"/>
    </w:lvl>
  </w:abstractNum>
  <w:abstractNum w:abstractNumId="410">
    <w:nsid w:val="64A1C464"/>
    <w:multiLevelType w:val="hybridMultilevel"/>
    <w:lvl w:ilvl="0">
      <w:lvlJc w:val="left"/>
      <w:lvlText w:val="(%1)"/>
      <w:numFmt w:val="lowerLetter"/>
      <w:start w:val="1"/>
    </w:lvl>
  </w:abstractNum>
  <w:abstractNum w:abstractNumId="411">
    <w:nsid w:val="31723BF5"/>
    <w:multiLevelType w:val="hybridMultilevel"/>
    <w:lvl w:ilvl="0">
      <w:lvlJc w:val="left"/>
      <w:lvlText w:val="(%1)"/>
      <w:numFmt w:val="lowerLetter"/>
      <w:start w:val="1"/>
    </w:lvl>
    <w:lvl w:ilvl="1">
      <w:lvlJc w:val="left"/>
      <w:lvlText w:val="(%2)"/>
      <w:numFmt w:val="lowerRoman"/>
      <w:start w:val="1"/>
    </w:lvl>
  </w:abstractNum>
  <w:abstractNum w:abstractNumId="412">
    <w:nsid w:val="11F69861"/>
    <w:multiLevelType w:val="hybridMultilevel"/>
    <w:lvl w:ilvl="0">
      <w:lvlJc w:val="left"/>
      <w:lvlText w:val="%1"/>
      <w:numFmt w:val="lowerLetter"/>
      <w:start w:val="1"/>
    </w:lvl>
    <w:lvl w:ilvl="1">
      <w:lvlJc w:val="left"/>
      <w:lvlText w:val="(%2)"/>
      <w:numFmt w:val="lowerLetter"/>
      <w:start w:val="22"/>
    </w:lvl>
  </w:abstractNum>
  <w:abstractNum w:abstractNumId="413">
    <w:nsid w:val="369956AB"/>
    <w:multiLevelType w:val="hybridMultilevel"/>
    <w:lvl w:ilvl="0">
      <w:lvlJc w:val="left"/>
      <w:lvlText w:val="(%1)"/>
      <w:numFmt w:val="lowerLetter"/>
      <w:start w:val="2"/>
    </w:lvl>
    <w:lvl w:ilvl="1">
      <w:lvlJc w:val="left"/>
      <w:lvlText w:val="%2"/>
      <w:numFmt w:val="lowerLetter"/>
      <w:start w:val="1"/>
    </w:lvl>
  </w:abstractNum>
  <w:abstractNum w:abstractNumId="414">
    <w:nsid w:val="D3BE41C"/>
    <w:multiLevelType w:val="hybridMultilevel"/>
    <w:lvl w:ilvl="0">
      <w:lvlJc w:val="left"/>
      <w:lvlText w:val="(%1)"/>
      <w:numFmt w:val="lowerLetter"/>
      <w:start w:val="1"/>
    </w:lvl>
    <w:lvl w:ilvl="1">
      <w:lvlJc w:val="left"/>
      <w:lvlText w:val="(%2)"/>
      <w:numFmt w:val="lowerRoman"/>
      <w:start w:val="1"/>
    </w:lvl>
  </w:abstractNum>
  <w:abstractNum w:abstractNumId="415">
    <w:nsid w:val="4CDA15E7"/>
    <w:multiLevelType w:val="hybridMultilevel"/>
    <w:lvl w:ilvl="0">
      <w:lvlJc w:val="left"/>
      <w:lvlText w:val="(%1)"/>
      <w:numFmt w:val="lowerLetter"/>
      <w:start w:val="4"/>
    </w:lvl>
    <w:lvl w:ilvl="1">
      <w:lvlJc w:val="left"/>
      <w:lvlText w:val="(%2)"/>
      <w:numFmt w:val="lowerRoman"/>
      <w:start w:val="1"/>
    </w:lvl>
  </w:abstractNum>
  <w:abstractNum w:abstractNumId="416">
    <w:nsid w:val="7BDD6690"/>
    <w:multiLevelType w:val="hybridMultilevel"/>
    <w:lvl w:ilvl="0">
      <w:lvlJc w:val="left"/>
      <w:lvlText w:val="(%1)"/>
      <w:numFmt w:val="lowerLetter"/>
      <w:start w:val="1"/>
    </w:lvl>
  </w:abstractNum>
  <w:abstractNum w:abstractNumId="417">
    <w:nsid w:val="DFB5C5B"/>
    <w:multiLevelType w:val="hybridMultilevel"/>
    <w:lvl w:ilvl="0">
      <w:lvlJc w:val="left"/>
      <w:lvlText w:val="(%1)"/>
      <w:numFmt w:val="lowerLetter"/>
      <w:start w:val="1"/>
    </w:lvl>
  </w:abstractNum>
  <w:abstractNum w:abstractNumId="418">
    <w:nsid w:val="6F3E5490"/>
    <w:multiLevelType w:val="hybridMultilevel"/>
    <w:lvl w:ilvl="0">
      <w:lvlJc w:val="left"/>
      <w:lvlText w:val="(%1)"/>
      <w:numFmt w:val="lowerLetter"/>
      <w:start w:val="1"/>
    </w:lvl>
  </w:abstractNum>
  <w:abstractNum w:abstractNumId="419">
    <w:nsid w:val="1464BE1E"/>
    <w:multiLevelType w:val="hybridMultilevel"/>
    <w:lvl w:ilvl="0">
      <w:lvlJc w:val="left"/>
      <w:lvlText w:val="(%1)"/>
      <w:numFmt w:val="lowerLetter"/>
      <w:start w:val="1"/>
    </w:lvl>
  </w:abstractNum>
  <w:abstractNum w:abstractNumId="420">
    <w:nsid w:val="66BBB7E5"/>
    <w:multiLevelType w:val="hybridMultilevel"/>
    <w:lvl w:ilvl="0">
      <w:lvlJc w:val="left"/>
      <w:lvlText w:val="(%1)"/>
      <w:numFmt w:val="lowerLetter"/>
      <w:start w:val="2"/>
    </w:lvl>
  </w:abstractNum>
  <w:abstractNum w:abstractNumId="421">
    <w:nsid w:val="28168302"/>
    <w:multiLevelType w:val="hybridMultilevel"/>
    <w:lvl w:ilvl="0">
      <w:lvlJc w:val="left"/>
      <w:lvlText w:val="(%1)"/>
      <w:numFmt w:val="lowerLetter"/>
      <w:start w:val="1"/>
    </w:lvl>
  </w:abstractNum>
  <w:abstractNum w:abstractNumId="422">
    <w:nsid w:val="32A5C7A8"/>
    <w:multiLevelType w:val="hybridMultilevel"/>
    <w:lvl w:ilvl="0">
      <w:lvlJc w:val="left"/>
      <w:lvlText w:val="(%1)"/>
      <w:numFmt w:val="lowerLetter"/>
      <w:start w:val="1"/>
    </w:lvl>
  </w:abstractNum>
  <w:abstractNum w:abstractNumId="423">
    <w:nsid w:val="3A541011"/>
    <w:multiLevelType w:val="hybridMultilevel"/>
    <w:lvl w:ilvl="0">
      <w:lvlJc w:val="left"/>
      <w:lvlText w:val="(%1)"/>
      <w:numFmt w:val="lowerLetter"/>
      <w:start w:val="1"/>
    </w:lvl>
  </w:abstractNum>
  <w:abstractNum w:abstractNumId="424">
    <w:nsid w:val="4423C777"/>
    <w:multiLevelType w:val="hybridMultilevel"/>
    <w:lvl w:ilvl="0">
      <w:lvlJc w:val="left"/>
      <w:lvlText w:val="(%1)"/>
      <w:numFmt w:val="lowerRoman"/>
      <w:start w:val="1"/>
    </w:lvl>
  </w:abstractNum>
  <w:abstractNum w:abstractNumId="425">
    <w:nsid w:val="5F5C6E4D"/>
    <w:multiLevelType w:val="hybridMultilevel"/>
    <w:lvl w:ilvl="0">
      <w:lvlJc w:val="left"/>
      <w:lvlText w:val="(%1)"/>
      <w:numFmt w:val="lowerLetter"/>
      <w:start w:val="1"/>
    </w:lvl>
    <w:lvl w:ilvl="1">
      <w:lvlJc w:val="left"/>
      <w:lvlText w:val="(%2)"/>
      <w:numFmt w:val="lowerRoman"/>
      <w:start w:val="1"/>
    </w:lvl>
  </w:abstractNum>
  <w:abstractNum w:abstractNumId="426">
    <w:nsid w:val="7C2A56C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27">
    <w:nsid w:val="7AB86EE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28">
    <w:nsid w:val="B54E53B"/>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429">
    <w:nsid w:val="2A00487"/>
    <w:multiLevelType w:val="hybridMultilevel"/>
    <w:lvl w:ilvl="0">
      <w:lvlJc w:val="left"/>
      <w:lvlText w:val="(%1)"/>
      <w:numFmt w:val="lowerRoman"/>
      <w:start w:val="1"/>
    </w:lvl>
    <w:lvl w:ilvl="1">
      <w:lvlJc w:val="left"/>
      <w:lvlText w:val="(%2)"/>
      <w:numFmt w:val="lowerRoman"/>
      <w:start w:val="1"/>
    </w:lvl>
  </w:abstractNum>
  <w:abstractNum w:abstractNumId="430">
    <w:nsid w:val="6CB1B60"/>
    <w:multiLevelType w:val="hybridMultilevel"/>
    <w:lvl w:ilvl="0">
      <w:lvlJc w:val="left"/>
      <w:lvlText w:val="(%1)"/>
      <w:numFmt w:val="lowerLetter"/>
      <w:start w:val="10"/>
    </w:lvl>
  </w:abstractNum>
  <w:abstractNum w:abstractNumId="431">
    <w:nsid w:val="72EDD574"/>
    <w:multiLevelType w:val="hybridMultilevel"/>
    <w:lvl w:ilvl="0">
      <w:lvlJc w:val="left"/>
      <w:lvlText w:val="(%1)"/>
      <w:numFmt w:val="lowerLetter"/>
      <w:start w:val="1"/>
    </w:lvl>
  </w:abstractNum>
  <w:abstractNum w:abstractNumId="432">
    <w:nsid w:val="7323808A"/>
    <w:multiLevelType w:val="hybridMultilevel"/>
    <w:lvl w:ilvl="0">
      <w:lvlJc w:val="left"/>
      <w:lvlText w:val="(%1)"/>
      <w:numFmt w:val="lowerLetter"/>
      <w:start w:val="1"/>
    </w:lvl>
  </w:abstractNum>
  <w:abstractNum w:abstractNumId="433">
    <w:nsid w:val="5157276"/>
    <w:multiLevelType w:val="hybridMultilevel"/>
    <w:lvl w:ilvl="0">
      <w:lvlJc w:val="left"/>
      <w:lvlText w:val="(%1)"/>
      <w:numFmt w:val="lowerLetter"/>
      <w:start w:val="1"/>
    </w:lvl>
  </w:abstractNum>
  <w:abstractNum w:abstractNumId="434">
    <w:nsid w:val="35A681DB"/>
    <w:multiLevelType w:val="hybridMultilevel"/>
    <w:lvl w:ilvl="0">
      <w:lvlJc w:val="left"/>
      <w:lvlText w:val="(%1)"/>
      <w:numFmt w:val="lowerLetter"/>
      <w:start w:val="2"/>
    </w:lvl>
    <w:lvl w:ilvl="1">
      <w:lvlJc w:val="left"/>
      <w:lvlText w:val="(%2)"/>
      <w:numFmt w:val="lowerRoman"/>
      <w:start w:val="1"/>
    </w:lvl>
  </w:abstractNum>
  <w:abstractNum w:abstractNumId="435">
    <w:nsid w:val="1786C974"/>
    <w:multiLevelType w:val="hybridMultilevel"/>
    <w:lvl w:ilvl="0">
      <w:lvlJc w:val="left"/>
      <w:lvlText w:val="(%1)"/>
      <w:numFmt w:val="lowerLetter"/>
      <w:start w:val="1"/>
    </w:lvl>
    <w:lvl w:ilvl="1">
      <w:lvlJc w:val="left"/>
      <w:lvlText w:val="(%2)"/>
      <w:numFmt w:val="lowerRoman"/>
      <w:start w:val="1"/>
    </w:lvl>
  </w:abstractNum>
  <w:abstractNum w:abstractNumId="436">
    <w:nsid w:val="1C2427A1"/>
    <w:multiLevelType w:val="hybridMultilevel"/>
    <w:lvl w:ilvl="0">
      <w:lvlJc w:val="left"/>
      <w:lvlText w:val="(%1)"/>
      <w:numFmt w:val="lowerLetter"/>
      <w:start w:val="1"/>
    </w:lvl>
  </w:abstractNum>
  <w:abstractNum w:abstractNumId="437">
    <w:nsid w:val="63A24D68"/>
    <w:multiLevelType w:val="hybridMultilevel"/>
    <w:lvl w:ilvl="0">
      <w:lvlJc w:val="left"/>
      <w:lvlText w:val="(%1)"/>
      <w:numFmt w:val="lowerRoman"/>
      <w:start w:val="1"/>
    </w:lvl>
  </w:abstractNum>
  <w:abstractNum w:abstractNumId="438">
    <w:nsid w:val="4FB7A02A"/>
    <w:multiLevelType w:val="hybridMultilevel"/>
    <w:lvl w:ilvl="0">
      <w:lvlJc w:val="left"/>
      <w:lvlText w:val="(%1)"/>
      <w:numFmt w:val="lowerLetter"/>
      <w:start w:val="1"/>
    </w:lvl>
  </w:abstractNum>
  <w:abstractNum w:abstractNumId="439">
    <w:nsid w:val="96CF728"/>
    <w:multiLevelType w:val="hybridMultilevel"/>
    <w:lvl w:ilvl="0">
      <w:lvlJc w:val="left"/>
      <w:lvlText w:val="(%1)"/>
      <w:numFmt w:val="lowerLetter"/>
      <w:start w:val="1"/>
    </w:lvl>
    <w:lvl w:ilvl="1">
      <w:lvlJc w:val="left"/>
      <w:lvlText w:val="(%2)"/>
      <w:numFmt w:val="lowerRoman"/>
      <w:start w:val="1"/>
    </w:lvl>
  </w:abstractNum>
  <w:abstractNum w:abstractNumId="440">
    <w:nsid w:val="3B121183"/>
    <w:multiLevelType w:val="hybridMultilevel"/>
    <w:lvl w:ilvl="0">
      <w:lvlJc w:val="left"/>
      <w:lvlText w:val="(%1)"/>
      <w:numFmt w:val="lowerLetter"/>
      <w:start w:val="2"/>
    </w:lvl>
  </w:abstractNum>
  <w:abstractNum w:abstractNumId="441">
    <w:nsid w:val="3459648F"/>
    <w:multiLevelType w:val="hybridMultilevel"/>
    <w:lvl w:ilvl="0">
      <w:lvlJc w:val="left"/>
      <w:lvlText w:val="(%1)"/>
      <w:numFmt w:val="lowerLetter"/>
      <w:start w:val="1"/>
    </w:lvl>
  </w:abstractNum>
  <w:abstractNum w:abstractNumId="442">
    <w:nsid w:val="3ADF331D"/>
    <w:multiLevelType w:val="hybridMultilevel"/>
    <w:lvl w:ilvl="0">
      <w:lvlJc w:val="left"/>
      <w:lvlText w:val="(%1)"/>
      <w:numFmt w:val="lowerLetter"/>
      <w:start w:val="1"/>
    </w:lvl>
  </w:abstractNum>
  <w:abstractNum w:abstractNumId="443">
    <w:nsid w:val="4D08A9E4"/>
    <w:multiLevelType w:val="hybridMultilevel"/>
    <w:lvl w:ilvl="0">
      <w:lvlJc w:val="left"/>
      <w:lvlText w:val="(%1)"/>
      <w:numFmt w:val="lowerLetter"/>
      <w:start w:val="1"/>
    </w:lvl>
  </w:abstractNum>
  <w:abstractNum w:abstractNumId="444">
    <w:nsid w:val="6AF2BB3A"/>
    <w:multiLevelType w:val="hybridMultilevel"/>
    <w:lvl w:ilvl="0">
      <w:lvlJc w:val="left"/>
      <w:lvlText w:val="(%1)"/>
      <w:numFmt w:val="lowerLetter"/>
      <w:start w:val="1"/>
    </w:lvl>
  </w:abstractNum>
  <w:abstractNum w:abstractNumId="445">
    <w:nsid w:val="481B1739"/>
    <w:multiLevelType w:val="hybridMultilevel"/>
    <w:lvl w:ilvl="0">
      <w:lvlJc w:val="left"/>
      <w:lvlText w:val="(%1)"/>
      <w:numFmt w:val="lowerLetter"/>
      <w:start w:val="1"/>
    </w:lvl>
    <w:lvl w:ilvl="1">
      <w:lvlJc w:val="left"/>
      <w:lvlText w:val="(%2)"/>
      <w:numFmt w:val="lowerRoman"/>
      <w:start w:val="1"/>
    </w:lvl>
  </w:abstractNum>
  <w:abstractNum w:abstractNumId="446">
    <w:nsid w:val="19E2BFCC"/>
    <w:multiLevelType w:val="hybridMultilevel"/>
    <w:lvl w:ilvl="0">
      <w:lvlJc w:val="left"/>
      <w:lvlText w:val="(%1)"/>
      <w:numFmt w:val="lowerLetter"/>
      <w:start w:val="6"/>
    </w:lvl>
    <w:lvl w:ilvl="1">
      <w:lvlJc w:val="left"/>
      <w:lvlText w:val="(%2)"/>
      <w:numFmt w:val="lowerRoman"/>
      <w:start w:val="1"/>
    </w:lvl>
  </w:abstractNum>
  <w:abstractNum w:abstractNumId="447">
    <w:nsid w:val="66D021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8">
    <w:nsid w:val="56167394"/>
    <w:multiLevelType w:val="hybridMultilevel"/>
    <w:lvl w:ilvl="0">
      <w:lvlJc w:val="left"/>
      <w:lvlText w:val="%1"/>
      <w:numFmt w:val="lowerLetter"/>
      <w:start w:val="1"/>
    </w:lvl>
    <w:lvl w:ilvl="1">
      <w:lvlJc w:val="left"/>
      <w:lvlText w:val="(%2)"/>
      <w:numFmt w:val="lowerRoman"/>
      <w:start w:val="2"/>
    </w:lvl>
  </w:abstractNum>
  <w:abstractNum w:abstractNumId="449">
    <w:nsid w:val="921145C"/>
    <w:multiLevelType w:val="hybridMultilevel"/>
    <w:lvl w:ilvl="0">
      <w:lvlJc w:val="left"/>
      <w:lvlText w:val="(%1)"/>
      <w:numFmt w:val="lowerLetter"/>
      <w:start w:val="3"/>
    </w:lvl>
    <w:lvl w:ilvl="1">
      <w:lvlJc w:val="left"/>
      <w:lvlText w:val="(%2)"/>
      <w:numFmt w:val="lowerRoman"/>
      <w:start w:val="1"/>
    </w:lvl>
  </w:abstractNum>
  <w:abstractNum w:abstractNumId="450">
    <w:nsid w:val="7B34DFE8"/>
    <w:multiLevelType w:val="hybridMultilevel"/>
    <w:lvl w:ilvl="0">
      <w:lvlJc w:val="left"/>
      <w:lvlText w:val="(%1)"/>
      <w:numFmt w:val="lowerLetter"/>
      <w:start w:val="1"/>
    </w:lvl>
    <w:lvl w:ilvl="1">
      <w:lvlJc w:val="left"/>
      <w:lvlText w:val="(%2)"/>
      <w:numFmt w:val="lowerRoman"/>
      <w:start w:val="1"/>
    </w:lvl>
  </w:abstractNum>
  <w:abstractNum w:abstractNumId="451">
    <w:nsid w:val="3CD22B79"/>
    <w:multiLevelType w:val="hybridMultilevel"/>
    <w:lvl w:ilvl="0">
      <w:lvlJc w:val="left"/>
      <w:lvlText w:val="(%1)"/>
      <w:numFmt w:val="lowerLetter"/>
      <w:start w:val="1"/>
    </w:lvl>
    <w:lvl w:ilvl="1">
      <w:lvlJc w:val="left"/>
      <w:lvlText w:val="(%2)"/>
      <w:numFmt w:val="lowerRoman"/>
      <w:start w:val="1"/>
    </w:lvl>
  </w:abstractNum>
  <w:abstractNum w:abstractNumId="452">
    <w:nsid w:val="3137975E"/>
    <w:multiLevelType w:val="hybridMultilevel"/>
    <w:lvl w:ilvl="0">
      <w:lvlJc w:val="left"/>
      <w:lvlText w:val="(%1)"/>
      <w:numFmt w:val="lowerLetter"/>
      <w:start w:val="1"/>
    </w:lvl>
    <w:lvl w:ilvl="1">
      <w:lvlJc w:val="left"/>
      <w:lvlText w:val="(%2)"/>
      <w:numFmt w:val="lowerRoman"/>
      <w:start w:val="1"/>
    </w:lvl>
  </w:abstractNum>
  <w:abstractNum w:abstractNumId="453">
    <w:nsid w:val="2DDAA791"/>
    <w:multiLevelType w:val="hybridMultilevel"/>
    <w:lvl w:ilvl="0">
      <w:lvlJc w:val="left"/>
      <w:lvlText w:val="(%1)"/>
      <w:numFmt w:val="lowerLetter"/>
      <w:start w:val="3"/>
    </w:lvl>
  </w:abstractNum>
  <w:abstractNum w:abstractNumId="454">
    <w:nsid w:val="77263B8A"/>
    <w:multiLevelType w:val="hybridMultilevel"/>
    <w:lvl w:ilvl="0">
      <w:lvlJc w:val="left"/>
      <w:lvlText w:val="%1"/>
      <w:numFmt w:val="decimal"/>
      <w:start w:val="31"/>
    </w:lvl>
  </w:abstractNum>
  <w:abstractNum w:abstractNumId="455">
    <w:nsid w:val="755B5ED6"/>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456">
    <w:nsid w:val="D3715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7">
    <w:nsid w:val="73509257"/>
    <w:multiLevelType w:val="hybridMultilevel"/>
    <w:lvl w:ilvl="0">
      <w:lvlJc w:val="left"/>
      <w:lvlText w:val="(%1)"/>
      <w:numFmt w:val="lowerLetter"/>
      <w:start w:val="2"/>
    </w:lvl>
  </w:abstractNum>
  <w:abstractNum w:abstractNumId="458">
    <w:nsid w:val="7013CDB7"/>
    <w:multiLevelType w:val="hybridMultilevel"/>
    <w:lvl w:ilvl="0">
      <w:lvlJc w:val="left"/>
      <w:lvlText w:val="(%1)"/>
      <w:numFmt w:val="lowerLetter"/>
      <w:start w:val="1"/>
    </w:lvl>
  </w:abstractNum>
  <w:abstractNum w:abstractNumId="459">
    <w:nsid w:val="188BFB19"/>
    <w:multiLevelType w:val="hybridMultilevel"/>
    <w:lvl w:ilvl="0">
      <w:lvlJc w:val="left"/>
      <w:lvlText w:val="(%1)"/>
      <w:numFmt w:val="lowerLetter"/>
      <w:start w:val="1"/>
    </w:lvl>
  </w:abstractNum>
  <w:abstractNum w:abstractNumId="460">
    <w:nsid w:val="75F096D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1">
    <w:nsid w:val="76DEE918"/>
    <w:multiLevelType w:val="hybridMultilevel"/>
    <w:lvl w:ilvl="0">
      <w:lvlJc w:val="left"/>
      <w:lvlText w:val="(%1)"/>
      <w:numFmt w:val="lowerLetter"/>
      <w:start w:val="2"/>
    </w:lvl>
    <w:lvl w:ilvl="1">
      <w:lvlJc w:val="left"/>
      <w:lvlText w:val="(%2)"/>
      <w:numFmt w:val="lowerLetter"/>
      <w:start w:val="9"/>
    </w:lvl>
  </w:abstractNum>
  <w:abstractNum w:abstractNumId="462">
    <w:nsid w:val="B79D08D"/>
    <w:multiLevelType w:val="hybridMultilevel"/>
    <w:lvl w:ilvl="0">
      <w:lvlJc w:val="left"/>
      <w:lvlText w:val="%1"/>
      <w:numFmt w:val="lowerLetter"/>
      <w:start w:val="1"/>
    </w:lvl>
    <w:lvl w:ilvl="1">
      <w:lvlJc w:val="left"/>
      <w:lvlText w:val="(%2)"/>
      <w:numFmt w:val="lowerRoman"/>
      <w:start w:val="2"/>
    </w:lvl>
  </w:abstractNum>
  <w:abstractNum w:abstractNumId="463">
    <w:nsid w:val="69141769"/>
    <w:multiLevelType w:val="hybridMultilevel"/>
    <w:lvl w:ilvl="0">
      <w:lvlJc w:val="left"/>
      <w:lvlText w:val="(%1)"/>
      <w:numFmt w:val="lowerLetter"/>
      <w:start w:val="3"/>
    </w:lvl>
    <w:lvl w:ilvl="1">
      <w:lvlJc w:val="left"/>
      <w:lvlText w:val="%2"/>
      <w:numFmt w:val="lowerRoman"/>
      <w:start w:val="1"/>
    </w:lvl>
  </w:abstractNum>
  <w:abstractNum w:abstractNumId="464">
    <w:nsid w:val="7BF45B8E"/>
    <w:multiLevelType w:val="hybridMultilevel"/>
    <w:lvl w:ilvl="0">
      <w:lvlJc w:val="left"/>
      <w:lvlText w:val="(%1)"/>
      <w:numFmt w:val="lowerLetter"/>
      <w:start w:val="1"/>
    </w:lvl>
  </w:abstractNum>
  <w:abstractNum w:abstractNumId="465">
    <w:nsid w:val="41205269"/>
    <w:multiLevelType w:val="hybridMultilevel"/>
    <w:lvl w:ilvl="0">
      <w:lvlJc w:val="left"/>
      <w:lvlText w:val="(%1)"/>
      <w:numFmt w:val="lowerLetter"/>
      <w:start w:val="16"/>
    </w:lvl>
  </w:abstractNum>
  <w:abstractNum w:abstractNumId="466">
    <w:nsid w:val="9AE0DD"/>
    <w:multiLevelType w:val="hybridMultilevel"/>
    <w:lvl w:ilvl="0">
      <w:lvlJc w:val="left"/>
      <w:lvlText w:val="(%1)"/>
      <w:numFmt w:val="lowerLetter"/>
      <w:start w:val="1"/>
    </w:lvl>
  </w:abstractNum>
  <w:abstractNum w:abstractNumId="467">
    <w:nsid w:val="18188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8">
    <w:nsid w:val="24C29FD1"/>
    <w:multiLevelType w:val="hybridMultilevel"/>
    <w:lvl w:ilvl="0">
      <w:lvlJc w:val="left"/>
      <w:lvlText w:val="(%1)"/>
      <w:numFmt w:val="lowerLetter"/>
      <w:start w:val="2"/>
    </w:lvl>
    <w:lvl w:ilvl="1">
      <w:lvlJc w:val="left"/>
      <w:lvlText w:val="(%2)"/>
      <w:numFmt w:val="lowerRoman"/>
      <w:start w:val="1"/>
    </w:lvl>
  </w:abstractNum>
  <w:abstractNum w:abstractNumId="469">
    <w:nsid w:val="50528108"/>
    <w:multiLevelType w:val="hybridMultilevel"/>
    <w:lvl w:ilvl="0">
      <w:lvlJc w:val="left"/>
      <w:lvlText w:val="(%1)"/>
      <w:numFmt w:val="lowerLetter"/>
      <w:start w:val="5"/>
    </w:lvl>
  </w:abstractNum>
  <w:abstractNum w:abstractNumId="470">
    <w:nsid w:val="21857A57"/>
    <w:multiLevelType w:val="hybridMultilevel"/>
    <w:lvl w:ilvl="0">
      <w:lvlJc w:val="left"/>
      <w:lvlText w:val="(%1)"/>
      <w:numFmt w:val="lowerLetter"/>
      <w:start w:val="1"/>
    </w:lvl>
    <w:lvl w:ilvl="1">
      <w:lvlJc w:val="left"/>
      <w:lvlText w:val="(%2)"/>
      <w:numFmt w:val="lowerRoman"/>
      <w:start w:val="1"/>
    </w:lvl>
  </w:abstractNum>
  <w:abstractNum w:abstractNumId="471">
    <w:nsid w:val="5FD4B154"/>
    <w:multiLevelType w:val="hybridMultilevel"/>
    <w:lvl w:ilvl="0">
      <w:lvlJc w:val="left"/>
      <w:lvlText w:val="(%1)"/>
      <w:numFmt w:val="lowerLetter"/>
      <w:start w:val="2"/>
    </w:lvl>
  </w:abstractNum>
  <w:abstractNum w:abstractNumId="472">
    <w:nsid w:val="4ABE597"/>
    <w:multiLevelType w:val="hybridMultilevel"/>
    <w:lvl w:ilvl="0">
      <w:lvlJc w:val="left"/>
      <w:lvlText w:val="(%1)"/>
      <w:numFmt w:val="lowerLetter"/>
      <w:start w:val="1"/>
    </w:lvl>
    <w:lvl w:ilvl="1">
      <w:lvlJc w:val="left"/>
      <w:lvlText w:val="(%2)"/>
      <w:numFmt w:val="lowerRoman"/>
      <w:start w:val="1"/>
    </w:lvl>
  </w:abstractNum>
  <w:abstractNum w:abstractNumId="473">
    <w:nsid w:val="5C64AD75"/>
    <w:multiLevelType w:val="hybridMultilevel"/>
    <w:lvl w:ilvl="0">
      <w:lvlJc w:val="left"/>
      <w:lvlText w:val="(%1)"/>
      <w:numFmt w:val="lowerRoman"/>
      <w:start w:val="3"/>
    </w:lvl>
  </w:abstractNum>
  <w:abstractNum w:abstractNumId="474">
    <w:nsid w:val="2CDD5B39"/>
    <w:multiLevelType w:val="hybridMultilevel"/>
    <w:lvl w:ilvl="0">
      <w:lvlJc w:val="left"/>
      <w:lvlText w:val="(%1)"/>
      <w:numFmt w:val="lowerLetter"/>
      <w:start w:val="1"/>
    </w:lvl>
  </w:abstractNum>
  <w:abstractNum w:abstractNumId="475">
    <w:nsid w:val="6F9EA0D1"/>
    <w:multiLevelType w:val="hybridMultilevel"/>
    <w:lvl w:ilvl="0">
      <w:lvlJc w:val="left"/>
      <w:lvlText w:val="(%1)"/>
      <w:numFmt w:val="lowerLetter"/>
      <w:start w:val="1"/>
    </w:lvl>
  </w:abstractNum>
  <w:abstractNum w:abstractNumId="476">
    <w:nsid w:val="247FC4AE"/>
    <w:multiLevelType w:val="hybridMultilevel"/>
    <w:lvl w:ilvl="0">
      <w:lvlJc w:val="left"/>
      <w:lvlText w:val="(%1)"/>
      <w:numFmt w:val="lowerLetter"/>
      <w:start w:val="1"/>
    </w:lvl>
    <w:lvl w:ilvl="1">
      <w:lvlJc w:val="left"/>
      <w:lvlText w:val="(%2)"/>
      <w:numFmt w:val="lowerRoman"/>
      <w:start w:val="1"/>
    </w:lvl>
  </w:abstractNum>
  <w:abstractNum w:abstractNumId="477">
    <w:nsid w:val="46C01B05"/>
    <w:multiLevelType w:val="hybridMultilevel"/>
    <w:lvl w:ilvl="0">
      <w:lvlJc w:val="left"/>
      <w:lvlText w:val="(%1)"/>
      <w:numFmt w:val="lowerLetter"/>
      <w:start w:val="2"/>
    </w:lvl>
  </w:abstractNum>
  <w:abstractNum w:abstractNumId="478">
    <w:nsid w:val="566EC29B"/>
    <w:multiLevelType w:val="hybridMultilevel"/>
    <w:lvl w:ilvl="0">
      <w:lvlJc w:val="left"/>
      <w:lvlText w:val="(%1)"/>
      <w:numFmt w:val="lowerLetter"/>
      <w:start w:val="1"/>
    </w:lvl>
  </w:abstractNum>
  <w:abstractNum w:abstractNumId="479">
    <w:nsid w:val="7A963843"/>
    <w:multiLevelType w:val="hybridMultilevel"/>
    <w:lvl w:ilvl="0">
      <w:lvlJc w:val="left"/>
      <w:lvlText w:val="(%1)"/>
      <w:numFmt w:val="lowerLetter"/>
      <w:start w:val="6"/>
    </w:lvl>
  </w:abstractNum>
  <w:abstractNum w:abstractNumId="480">
    <w:nsid w:val="4FE12F61"/>
    <w:multiLevelType w:val="hybridMultilevel"/>
    <w:lvl w:ilvl="0">
      <w:lvlJc w:val="left"/>
      <w:lvlText w:val="(%1)"/>
      <w:numFmt w:val="lowerLetter"/>
      <w:start w:val="1"/>
    </w:lvl>
    <w:lvl w:ilvl="1">
      <w:lvlJc w:val="left"/>
      <w:lvlText w:val="(%2)"/>
      <w:numFmt w:val="lowerRoman"/>
      <w:start w:val="1"/>
    </w:lvl>
  </w:abstractNum>
  <w:abstractNum w:abstractNumId="481">
    <w:nsid w:val="51A3A284"/>
    <w:multiLevelType w:val="hybridMultilevel"/>
    <w:lvl w:ilvl="0">
      <w:lvlJc w:val="left"/>
      <w:lvlText w:val="(%1)"/>
      <w:numFmt w:val="lowerLetter"/>
      <w:start w:val="3"/>
    </w:lvl>
  </w:abstractNum>
  <w:abstractNum w:abstractNumId="482">
    <w:nsid w:val="376863BC"/>
    <w:multiLevelType w:val="hybridMultilevel"/>
    <w:lvl w:ilvl="0">
      <w:lvlJc w:val="left"/>
      <w:lvlText w:val="(%1)"/>
      <w:numFmt w:val="lowerLetter"/>
      <w:start w:val="1"/>
    </w:lvl>
  </w:abstractNum>
  <w:abstractNum w:abstractNumId="483">
    <w:nsid w:val="118C6C0"/>
    <w:multiLevelType w:val="hybridMultilevel"/>
    <w:lvl w:ilvl="0">
      <w:lvlJc w:val="left"/>
      <w:lvlText w:val="(%1)"/>
      <w:numFmt w:val="lowerLetter"/>
      <w:start w:val="2"/>
    </w:lvl>
    <w:lvl w:ilvl="1">
      <w:lvlJc w:val="left"/>
      <w:lvlText w:val="(%2)"/>
      <w:numFmt w:val="lowerRoman"/>
      <w:start w:val="1"/>
    </w:lvl>
  </w:abstractNum>
  <w:abstractNum w:abstractNumId="484">
    <w:nsid w:val="7F7E4A15"/>
    <w:multiLevelType w:val="hybridMultilevel"/>
    <w:lvl w:ilvl="0">
      <w:lvlJc w:val="left"/>
      <w:lvlText w:val="(%1)"/>
      <w:numFmt w:val="lowerLetter"/>
      <w:start w:val="1"/>
    </w:lvl>
  </w:abstractNum>
  <w:abstractNum w:abstractNumId="485">
    <w:nsid w:val="2E8E9F47"/>
    <w:multiLevelType w:val="hybridMultilevel"/>
    <w:lvl w:ilvl="0">
      <w:lvlJc w:val="left"/>
      <w:lvlText w:val="(%1)"/>
      <w:numFmt w:val="lowerLetter"/>
      <w:start w:val="2"/>
    </w:lvl>
  </w:abstractNum>
  <w:abstractNum w:abstractNumId="486">
    <w:nsid w:val="76742596"/>
    <w:multiLevelType w:val="hybridMultilevel"/>
    <w:lvl w:ilvl="0">
      <w:lvlJc w:val="left"/>
      <w:lvlText w:val="(%1)"/>
      <w:numFmt w:val="lowerLetter"/>
      <w:start w:val="4"/>
    </w:lvl>
  </w:abstractNum>
  <w:abstractNum w:abstractNumId="487">
    <w:nsid w:val="CB55FF3"/>
    <w:multiLevelType w:val="hybridMultilevel"/>
    <w:lvl w:ilvl="0">
      <w:lvlJc w:val="left"/>
      <w:lvlText w:val="(%1)"/>
      <w:numFmt w:val="lowerLetter"/>
      <w:start w:val="5"/>
    </w:lvl>
  </w:abstractNum>
  <w:abstractNum w:abstractNumId="488">
    <w:nsid w:val="21DF319E"/>
    <w:multiLevelType w:val="hybridMultilevel"/>
    <w:lvl w:ilvl="0">
      <w:lvlJc w:val="left"/>
      <w:lvlText w:val="(%1)"/>
      <w:numFmt w:val="lowerLetter"/>
      <w:start w:val="1"/>
    </w:lvl>
    <w:lvl w:ilvl="1">
      <w:lvlJc w:val="left"/>
      <w:lvlText w:val="(%2)"/>
      <w:numFmt w:val="lowerRoman"/>
      <w:start w:val="1"/>
    </w:lvl>
  </w:abstractNum>
  <w:abstractNum w:abstractNumId="489">
    <w:nsid w:val="6687F34D"/>
    <w:multiLevelType w:val="hybridMultilevel"/>
    <w:lvl w:ilvl="0">
      <w:lvlJc w:val="left"/>
      <w:lvlText w:val="(%1)"/>
      <w:numFmt w:val="lowerLetter"/>
      <w:start w:val="5"/>
    </w:lvl>
  </w:abstractNum>
  <w:abstractNum w:abstractNumId="490">
    <w:nsid w:val="25415B0C"/>
    <w:multiLevelType w:val="hybridMultilevel"/>
    <w:lvl w:ilvl="0">
      <w:lvlJc w:val="left"/>
      <w:lvlText w:val="(%1)"/>
      <w:numFmt w:val="lowerLetter"/>
      <w:start w:val="1"/>
    </w:lvl>
    <w:lvl w:ilvl="1">
      <w:lvlJc w:val="left"/>
      <w:lvlText w:val="(%2)"/>
      <w:numFmt w:val="lowerRoman"/>
      <w:start w:val="1"/>
    </w:lvl>
  </w:abstractNum>
  <w:abstractNum w:abstractNumId="491">
    <w:nsid w:val="17CFC87D"/>
    <w:multiLevelType w:val="hybridMultilevel"/>
    <w:lvl w:ilvl="0">
      <w:lvlJc w:val="left"/>
      <w:lvlText w:val="%1"/>
      <w:numFmt w:val="lowerLetter"/>
      <w:start w:val="1"/>
    </w:lvl>
    <w:lvl w:ilvl="1">
      <w:lvlJc w:val="left"/>
      <w:lvlText w:val="(%2)"/>
      <w:numFmt w:val="lowerRoman"/>
      <w:start w:val="4"/>
    </w:lvl>
  </w:abstractNum>
  <w:abstractNum w:abstractNumId="492">
    <w:nsid w:val="5D66DC65"/>
    <w:multiLevelType w:val="hybridMultilevel"/>
    <w:lvl w:ilvl="0">
      <w:lvlJc w:val="left"/>
      <w:lvlText w:val="(%1)"/>
      <w:numFmt w:val="lowerLetter"/>
      <w:start w:val="2"/>
    </w:lvl>
    <w:lvl w:ilvl="1">
      <w:lvlJc w:val="left"/>
      <w:lvlText w:val="%2"/>
      <w:numFmt w:val="lowerRoman"/>
      <w:start w:val="1"/>
    </w:lvl>
  </w:abstractNum>
  <w:abstractNum w:abstractNumId="493">
    <w:nsid w:val="30BB2B99"/>
    <w:multiLevelType w:val="hybridMultilevel"/>
    <w:lvl w:ilvl="0">
      <w:lvlJc w:val="left"/>
      <w:lvlText w:val="(%1)"/>
      <w:numFmt w:val="lowerLetter"/>
      <w:start w:val="1"/>
    </w:lvl>
  </w:abstractNum>
  <w:abstractNum w:abstractNumId="494">
    <w:nsid w:val="E3DFE6"/>
    <w:multiLevelType w:val="hybridMultilevel"/>
    <w:lvl w:ilvl="0">
      <w:lvlJc w:val="left"/>
      <w:lvlText w:val="(%1)"/>
      <w:numFmt w:val="lowerLetter"/>
      <w:start w:val="4"/>
    </w:lvl>
  </w:abstractNum>
  <w:abstractNum w:abstractNumId="495">
    <w:nsid w:val="595B37F3"/>
    <w:multiLevelType w:val="hybridMultilevel"/>
    <w:lvl w:ilvl="0">
      <w:lvlJc w:val="left"/>
      <w:lvlText w:val="(%1)"/>
      <w:numFmt w:val="lowerLetter"/>
      <w:start w:val="1"/>
    </w:lvl>
  </w:abstractNum>
  <w:abstractNum w:abstractNumId="496">
    <w:nsid w:val="71DB7E02"/>
    <w:multiLevelType w:val="hybridMultilevel"/>
    <w:lvl w:ilvl="0">
      <w:lvlJc w:val="left"/>
      <w:lvlText w:val="(%1)"/>
      <w:numFmt w:val="lowerLetter"/>
      <w:start w:val="1"/>
    </w:lvl>
    <w:lvl w:ilvl="1">
      <w:lvlJc w:val="left"/>
      <w:lvlText w:val="(%2)"/>
      <w:numFmt w:val="lowerRoman"/>
      <w:start w:val="1"/>
    </w:lvl>
  </w:abstractNum>
  <w:abstractNum w:abstractNumId="497">
    <w:nsid w:val="17EC0C4"/>
    <w:multiLevelType w:val="hybridMultilevel"/>
    <w:lvl w:ilvl="0">
      <w:lvlJc w:val="left"/>
      <w:lvlText w:val="(%1)"/>
      <w:numFmt w:val="lowerLetter"/>
      <w:start w:val="1"/>
    </w:lvl>
  </w:abstractNum>
  <w:abstractNum w:abstractNumId="498">
    <w:nsid w:val="7173BB22"/>
    <w:multiLevelType w:val="hybridMultilevel"/>
    <w:lvl w:ilvl="0">
      <w:lvlJc w:val="left"/>
      <w:lvlText w:val="(%1)"/>
      <w:numFmt w:val="lowerLetter"/>
      <w:start w:val="2"/>
    </w:lvl>
  </w:abstractNum>
  <w:abstractNum w:abstractNumId="499">
    <w:nsid w:val="169E1DD3"/>
    <w:multiLevelType w:val="hybridMultilevel"/>
    <w:lvl w:ilvl="0">
      <w:lvlJc w:val="left"/>
      <w:lvlText w:val="(%1)"/>
      <w:numFmt w:val="lowerLetter"/>
      <w:start w:val="1"/>
    </w:lvl>
  </w:abstractNum>
  <w:abstractNum w:abstractNumId="500">
    <w:nsid w:val="51D141CC"/>
    <w:multiLevelType w:val="hybridMultilevel"/>
    <w:lvl w:ilvl="0">
      <w:lvlJc w:val="left"/>
      <w:lvlText w:val="(%1)"/>
      <w:numFmt w:val="lowerLetter"/>
      <w:start w:val="1"/>
    </w:lvl>
  </w:abstractNum>
  <w:abstractNum w:abstractNumId="501">
    <w:nsid w:val="12F9357A"/>
    <w:multiLevelType w:val="hybridMultilevel"/>
    <w:lvl w:ilvl="0">
      <w:lvlJc w:val="left"/>
      <w:lvlText w:val="(%1)"/>
      <w:numFmt w:val="lowerLetter"/>
      <w:start w:val="1"/>
    </w:lvl>
    <w:lvl w:ilvl="1">
      <w:lvlJc w:val="left"/>
      <w:lvlText w:val="(%2)"/>
      <w:numFmt w:val="lowerLetter"/>
      <w:start w:val="9"/>
    </w:lvl>
  </w:abstractNum>
  <w:abstractNum w:abstractNumId="502">
    <w:nsid w:val="7672CF28"/>
    <w:multiLevelType w:val="hybridMultilevel"/>
    <w:lvl w:ilvl="0">
      <w:lvlJc w:val="left"/>
      <w:lvlText w:val="(%1)"/>
      <w:numFmt w:val="lowerRoman"/>
      <w:start w:val="2"/>
    </w:lvl>
  </w:abstractNum>
  <w:abstractNum w:abstractNumId="503">
    <w:nsid w:val="567D2763"/>
    <w:multiLevelType w:val="hybridMultilevel"/>
    <w:lvl w:ilvl="0">
      <w:lvlJc w:val="left"/>
      <w:lvlText w:val="(%1)"/>
      <w:numFmt w:val="lowerLetter"/>
      <w:start w:val="1"/>
    </w:lvl>
  </w:abstractNum>
  <w:abstractNum w:abstractNumId="504">
    <w:nsid w:val="6F5DE2EF"/>
    <w:multiLevelType w:val="hybridMultilevel"/>
    <w:lvl w:ilvl="0">
      <w:lvlJc w:val="left"/>
      <w:lvlText w:val="(%1)"/>
      <w:numFmt w:val="lowerLetter"/>
      <w:start w:val="5"/>
    </w:lvl>
  </w:abstractNum>
  <w:abstractNum w:abstractNumId="505">
    <w:nsid w:val="23502A61"/>
    <w:multiLevelType w:val="hybridMultilevel"/>
    <w:lvl w:ilvl="0">
      <w:lvlJc w:val="left"/>
      <w:lvlText w:val="(%1)"/>
      <w:numFmt w:val="lowerLetter"/>
      <w:start w:val="1"/>
    </w:lvl>
  </w:abstractNum>
  <w:abstractNum w:abstractNumId="506">
    <w:nsid w:val="461BC834"/>
    <w:multiLevelType w:val="hybridMultilevel"/>
    <w:lvl w:ilvl="0">
      <w:lvlJc w:val="left"/>
      <w:lvlText w:val="%1"/>
      <w:numFmt w:val="decimal"/>
      <w:start w:val="33"/>
    </w:lvl>
  </w:abstractNum>
  <w:abstractNum w:abstractNumId="507">
    <w:nsid w:val="13DDA79D"/>
    <w:multiLevelType w:val="hybridMultilevel"/>
    <w:lvl w:ilvl="0">
      <w:lvlJc w:val="left"/>
      <w:lvlText w:val="(%1)"/>
      <w:numFmt w:val="lowerLetter"/>
      <w:start w:val="1"/>
    </w:lvl>
  </w:abstractNum>
  <w:abstractNum w:abstractNumId="508">
    <w:nsid w:val="6A104566"/>
    <w:multiLevelType w:val="hybridMultilevel"/>
    <w:lvl w:ilvl="0">
      <w:lvlJc w:val="left"/>
      <w:lvlText w:val="(%1)"/>
      <w:numFmt w:val="lowerLetter"/>
      <w:start w:val="1"/>
    </w:lvl>
  </w:abstractNum>
  <w:abstractNum w:abstractNumId="509">
    <w:nsid w:val="1C8A8ACF"/>
    <w:multiLevelType w:val="hybridMultilevel"/>
    <w:lvl w:ilvl="0">
      <w:lvlJc w:val="left"/>
      <w:lvlText w:val="%1"/>
      <w:numFmt w:val="decimal"/>
      <w:start w:val="34"/>
    </w:lvl>
  </w:abstractNum>
  <w:abstractNum w:abstractNumId="510">
    <w:nsid w:val="E73DFE0"/>
    <w:multiLevelType w:val="hybridMultilevel"/>
    <w:lvl w:ilvl="0">
      <w:lvlJc w:val="left"/>
      <w:lvlText w:val="(%1)"/>
      <w:numFmt w:val="lowerLetter"/>
      <w:start w:val="1"/>
    </w:lvl>
  </w:abstractNum>
  <w:abstractNum w:abstractNumId="511">
    <w:nsid w:val="39F174C7"/>
    <w:multiLevelType w:val="hybridMultilevel"/>
    <w:lvl w:ilvl="0">
      <w:lvlJc w:val="left"/>
      <w:lvlText w:val="(%1)"/>
      <w:numFmt w:val="lowerLetter"/>
      <w:start w:val="1"/>
    </w:lvl>
  </w:abstractNum>
  <w:abstractNum w:abstractNumId="512">
    <w:nsid w:val="6E2E2D53"/>
    <w:multiLevelType w:val="hybridMultilevel"/>
    <w:lvl w:ilvl="0">
      <w:lvlJc w:val="left"/>
      <w:lvlText w:val="(%1)"/>
      <w:numFmt w:val="lowerLetter"/>
      <w:start w:val="1"/>
    </w:lvl>
    <w:lvl w:ilvl="1">
      <w:lvlJc w:val="left"/>
      <w:lvlText w:val="(%2)"/>
      <w:numFmt w:val="lowerRoman"/>
      <w:start w:val="1"/>
    </w:lvl>
  </w:abstractNum>
  <w:abstractNum w:abstractNumId="513">
    <w:nsid w:val="45DC439D"/>
    <w:multiLevelType w:val="hybridMultilevel"/>
    <w:lvl w:ilvl="0">
      <w:lvlJc w:val="left"/>
      <w:lvlText w:val="%1"/>
      <w:numFmt w:val="decimal"/>
      <w:start w:val="35"/>
    </w:lvl>
    <w:lvl w:ilvl="1">
      <w:lvlJc w:val="left"/>
      <w:lvlText w:val="(%2)"/>
      <w:numFmt w:val="lowerLetter"/>
      <w:start w:val="1"/>
    </w:lvl>
  </w:abstractNum>
  <w:abstractNum w:abstractNumId="514">
    <w:nsid w:val="3B0A3B87"/>
    <w:multiLevelType w:val="hybridMultilevel"/>
    <w:lvl w:ilvl="0">
      <w:lvlJc w:val="left"/>
      <w:lvlText w:val="(%1)"/>
      <w:numFmt w:val="lowerLetter"/>
      <w:start w:val="1"/>
    </w:lvl>
    <w:lvl w:ilvl="1">
      <w:lvlJc w:val="left"/>
      <w:lvlText w:val="(%2)"/>
      <w:numFmt w:val="lowerRoman"/>
      <w:start w:val="1"/>
    </w:lvl>
  </w:abstractNum>
  <w:abstractNum w:abstractNumId="515">
    <w:nsid w:val="6DAC7768"/>
    <w:multiLevelType w:val="hybridMultilevel"/>
    <w:lvl w:ilvl="0">
      <w:lvlJc w:val="left"/>
      <w:lvlText w:val="(%1)"/>
      <w:numFmt w:val="lowerLetter"/>
      <w:start w:val="1"/>
    </w:lvl>
  </w:abstractNum>
  <w:abstractNum w:abstractNumId="516">
    <w:nsid w:val="746AE2E4"/>
    <w:multiLevelType w:val="hybridMultilevel"/>
    <w:lvl w:ilvl="0">
      <w:lvlJc w:val="left"/>
      <w:lvlText w:val="(%1)"/>
      <w:numFmt w:val="lowerRoman"/>
      <w:start w:val="1"/>
    </w:lvl>
  </w:abstractNum>
  <w:abstractNum w:abstractNumId="517">
    <w:nsid w:val="317E611D"/>
    <w:multiLevelType w:val="hybridMultilevel"/>
    <w:lvl w:ilvl="0">
      <w:lvlJc w:val="left"/>
      <w:lvlText w:val="%1"/>
      <w:numFmt w:val="lowerLetter"/>
      <w:start w:val="1"/>
    </w:lvl>
    <w:lvl w:ilvl="1">
      <w:lvlJc w:val="left"/>
      <w:lvlText w:val="(%2)"/>
      <w:numFmt w:val="lowerRoman"/>
      <w:start w:val="2"/>
    </w:lvl>
  </w:abstractNum>
  <w:abstractNum w:abstractNumId="518">
    <w:nsid w:val="7A61D75B"/>
    <w:multiLevelType w:val="hybridMultilevel"/>
    <w:lvl w:ilvl="0">
      <w:lvlJc w:val="left"/>
      <w:lvlText w:val="(%1)"/>
      <w:numFmt w:val="lowerLetter"/>
      <w:start w:val="2"/>
    </w:lvl>
    <w:lvl w:ilvl="1">
      <w:lvlJc w:val="left"/>
      <w:lvlText w:val="%2"/>
      <w:numFmt w:val="lowerRoman"/>
      <w:start w:val="1"/>
    </w:lvl>
  </w:abstractNum>
  <w:abstractNum w:abstractNumId="519">
    <w:nsid w:val="164A1482"/>
    <w:multiLevelType w:val="hybridMultilevel"/>
    <w:lvl w:ilvl="0">
      <w:lvlJc w:val="left"/>
      <w:lvlText w:val="(%1)"/>
      <w:numFmt w:val="lowerLetter"/>
      <w:start w:val="1"/>
    </w:lvl>
  </w:abstractNum>
  <w:abstractNum w:abstractNumId="520">
    <w:nsid w:val="1806546B"/>
    <w:multiLevelType w:val="hybridMultilevel"/>
    <w:lvl w:ilvl="0">
      <w:lvlJc w:val="left"/>
      <w:lvlText w:val="(%1)"/>
      <w:numFmt w:val="lowerLetter"/>
      <w:start w:val="1"/>
    </w:lvl>
  </w:abstractNum>
  <w:abstractNum w:abstractNumId="521">
    <w:nsid w:val="1FA33267"/>
    <w:multiLevelType w:val="hybridMultilevel"/>
    <w:lvl w:ilvl="0">
      <w:lvlJc w:val="left"/>
      <w:lvlText w:val="(%1)"/>
      <w:numFmt w:val="lowerLetter"/>
      <w:start w:val="1"/>
    </w:lvl>
    <w:lvl w:ilvl="1">
      <w:lvlJc w:val="left"/>
      <w:lvlText w:val="(%2)"/>
      <w:numFmt w:val="lowerRoman"/>
      <w:start w:val="1"/>
    </w:lvl>
  </w:abstractNum>
  <w:abstractNum w:abstractNumId="522">
    <w:nsid w:val="2E19DD00"/>
    <w:multiLevelType w:val="hybridMultilevel"/>
    <w:lvl w:ilvl="0">
      <w:lvlJc w:val="left"/>
      <w:lvlText w:val="(%1)"/>
      <w:numFmt w:val="lowerLetter"/>
      <w:start w:val="1"/>
    </w:lvl>
  </w:abstractNum>
  <w:abstractNum w:abstractNumId="523">
    <w:nsid w:val="756D30D0"/>
    <w:multiLevelType w:val="hybridMultilevel"/>
    <w:lvl w:ilvl="0">
      <w:lvlJc w:val="left"/>
      <w:lvlText w:val="(%1)"/>
      <w:numFmt w:val="lowerLetter"/>
      <w:start w:val="1"/>
    </w:lvl>
  </w:abstractNum>
  <w:abstractNum w:abstractNumId="524">
    <w:nsid w:val="505E5E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5">
    <w:nsid w:val="2EFDBCE6"/>
    <w:multiLevelType w:val="hybridMultilevel"/>
    <w:lvl w:ilvl="0">
      <w:lvlJc w:val="left"/>
      <w:lvlText w:val="(%1)"/>
      <w:numFmt w:val="lowerLetter"/>
      <w:start w:val="1"/>
    </w:lvl>
  </w:abstractNum>
  <w:abstractNum w:abstractNumId="526">
    <w:nsid w:val="4EC868C4"/>
    <w:multiLevelType w:val="hybridMultilevel"/>
    <w:lvl w:ilvl="0">
      <w:lvlJc w:val="left"/>
      <w:lvlText w:val="(%1)"/>
      <w:numFmt w:val="lowerLetter"/>
      <w:start w:val="1"/>
    </w:lvl>
    <w:lvl w:ilvl="1">
      <w:lvlJc w:val="left"/>
      <w:lvlText w:val="(%2)"/>
      <w:numFmt w:val="lowerRoman"/>
      <w:start w:val="1"/>
    </w:lvl>
  </w:abstractNum>
  <w:abstractNum w:abstractNumId="527">
    <w:nsid w:val="4239DC03"/>
    <w:multiLevelType w:val="hybridMultilevel"/>
    <w:lvl w:ilvl="0">
      <w:lvlJc w:val="left"/>
      <w:lvlText w:val="(%1)"/>
      <w:numFmt w:val="lowerRoman"/>
      <w:start w:val="2"/>
    </w:lvl>
  </w:abstractNum>
  <w:abstractNum w:abstractNumId="528">
    <w:nsid w:val="307C7DAA"/>
    <w:multiLevelType w:val="hybridMultilevel"/>
    <w:lvl w:ilvl="0">
      <w:lvlJc w:val="left"/>
      <w:lvlText w:val="%1"/>
      <w:numFmt w:val="decimal"/>
      <w:start w:val="36"/>
    </w:lvl>
  </w:abstractNum>
  <w:abstractNum w:abstractNumId="529">
    <w:nsid w:val="403C23E6"/>
    <w:multiLevelType w:val="hybridMultilevel"/>
    <w:lvl w:ilvl="0">
      <w:lvlJc w:val="left"/>
      <w:lvlText w:val="(%1)"/>
      <w:numFmt w:val="lowerLetter"/>
      <w:start w:val="1"/>
    </w:lvl>
  </w:abstractNum>
  <w:abstractNum w:abstractNumId="530">
    <w:nsid w:val="58D7F9D7"/>
    <w:multiLevelType w:val="hybridMultilevel"/>
    <w:lvl w:ilvl="0">
      <w:lvlJc w:val="left"/>
      <w:lvlText w:val="(%1)"/>
      <w:numFmt w:val="lowerLetter"/>
      <w:start w:val="1"/>
    </w:lvl>
  </w:abstractNum>
  <w:abstractNum w:abstractNumId="531">
    <w:nsid w:val="24DBF76"/>
    <w:multiLevelType w:val="hybridMultilevel"/>
    <w:lvl w:ilvl="0">
      <w:lvlJc w:val="left"/>
      <w:lvlText w:val="(%1)"/>
      <w:numFmt w:val="lowerLetter"/>
      <w:start w:val="1"/>
    </w:lvl>
  </w:abstractNum>
  <w:abstractNum w:abstractNumId="532">
    <w:nsid w:val="53355960"/>
    <w:multiLevelType w:val="hybridMultilevel"/>
    <w:lvl w:ilvl="0">
      <w:lvlJc w:val="left"/>
      <w:lvlText w:val="(%1)"/>
      <w:numFmt w:val="lowerRoman"/>
      <w:start w:val="1"/>
    </w:lvl>
  </w:abstractNum>
  <w:abstractNum w:abstractNumId="533">
    <w:nsid w:val="4F4AC8FF"/>
    <w:multiLevelType w:val="hybridMultilevel"/>
    <w:lvl w:ilvl="0">
      <w:lvlJc w:val="left"/>
      <w:lvlText w:val="(%1)"/>
      <w:numFmt w:val="lowerLetter"/>
      <w:start w:val="2"/>
    </w:lvl>
  </w:abstractNum>
  <w:abstractNum w:abstractNumId="534">
    <w:nsid w:val="58CAE6D9"/>
    <w:multiLevelType w:val="hybridMultilevel"/>
    <w:lvl w:ilvl="0">
      <w:lvlJc w:val="left"/>
      <w:lvlText w:val="(%1)"/>
      <w:numFmt w:val="lowerLetter"/>
      <w:start w:val="1"/>
    </w:lvl>
    <w:lvl w:ilvl="1">
      <w:lvlJc w:val="left"/>
      <w:lvlText w:val="(%2)"/>
      <w:numFmt w:val="lowerRoman"/>
      <w:start w:val="1"/>
    </w:lvl>
  </w:abstractNum>
  <w:abstractNum w:abstractNumId="535">
    <w:nsid w:val="42933C4F"/>
    <w:multiLevelType w:val="hybridMultilevel"/>
    <w:lvl w:ilvl="0">
      <w:lvlJc w:val="left"/>
      <w:lvlText w:val="%1"/>
      <w:numFmt w:val="lowerLetter"/>
      <w:start w:val="1"/>
    </w:lvl>
    <w:lvl w:ilvl="1">
      <w:lvlJc w:val="left"/>
      <w:lvlText w:val="(%2)"/>
      <w:numFmt w:val="lowerLetter"/>
      <w:start w:val="22"/>
    </w:lvl>
  </w:abstractNum>
  <w:abstractNum w:abstractNumId="536">
    <w:nsid w:val="729AF360"/>
    <w:multiLevelType w:val="hybridMultilevel"/>
    <w:lvl w:ilvl="0">
      <w:lvlJc w:val="left"/>
      <w:lvlText w:val="(%1)"/>
      <w:numFmt w:val="lowerLetter"/>
      <w:start w:val="5"/>
    </w:lvl>
    <w:lvl w:ilvl="1">
      <w:lvlJc w:val="left"/>
      <w:lvlText w:val="%2"/>
      <w:numFmt w:val="lowerLetter"/>
      <w:start w:val="1"/>
    </w:lvl>
  </w:abstractNum>
  <w:abstractNum w:abstractNumId="537">
    <w:nsid w:val="1EE6AF0D"/>
    <w:multiLevelType w:val="hybridMultilevel"/>
    <w:lvl w:ilvl="0">
      <w:lvlJc w:val="left"/>
      <w:lvlText w:val="(%1)"/>
      <w:numFmt w:val="lowerLetter"/>
      <w:start w:val="1"/>
    </w:lvl>
    <w:lvl w:ilvl="1">
      <w:lvlJc w:val="left"/>
      <w:lvlText w:val="(%2)"/>
      <w:numFmt w:val="lowerLetter"/>
      <w:start w:val="9"/>
    </w:lvl>
  </w:abstractNum>
  <w:abstractNum w:abstractNumId="538">
    <w:nsid w:val="5670E3ED"/>
    <w:multiLevelType w:val="hybridMultilevel"/>
    <w:lvl w:ilvl="0">
      <w:lvlJc w:val="left"/>
      <w:lvlText w:val="(%1)"/>
      <w:numFmt w:val="lowerRoman"/>
      <w:start w:val="2"/>
    </w:lvl>
  </w:abstractNum>
  <w:abstractNum w:abstractNumId="539">
    <w:nsid w:val="5CAB38C6"/>
    <w:multiLevelType w:val="hybridMultilevel"/>
    <w:lvl w:ilvl="0">
      <w:lvlJc w:val="left"/>
      <w:lvlText w:val="%1"/>
      <w:numFmt w:val="decimal"/>
      <w:start w:val="38"/>
    </w:lvl>
  </w:abstractNum>
  <w:abstractNum w:abstractNumId="540">
    <w:nsid w:val="3B7139DD"/>
    <w:multiLevelType w:val="hybridMultilevel"/>
    <w:lvl w:ilvl="0">
      <w:lvlJc w:val="left"/>
      <w:lvlText w:val="%1"/>
      <w:numFmt w:val="decimal"/>
      <w:start w:val="39"/>
    </w:lvl>
  </w:abstractNum>
  <w:abstractNum w:abstractNumId="541">
    <w:nsid w:val="64E4C3CD"/>
    <w:multiLevelType w:val="hybridMultilevel"/>
    <w:lvl w:ilvl="0">
      <w:lvlJc w:val="left"/>
      <w:lvlText w:val="(%1)"/>
      <w:numFmt w:val="lowerLetter"/>
      <w:start w:val="1"/>
    </w:lvl>
  </w:abstractNum>
  <w:abstractNum w:abstractNumId="542">
    <w:nsid w:val="169CAD8D"/>
    <w:multiLevelType w:val="hybridMultilevel"/>
    <w:lvl w:ilvl="0">
      <w:lvlJc w:val="left"/>
      <w:lvlText w:val="(%1)"/>
      <w:numFmt w:val="lowerLetter"/>
      <w:start w:val="1"/>
    </w:lvl>
  </w:abstractNum>
  <w:abstractNum w:abstractNumId="543">
    <w:nsid w:val="299F6730"/>
    <w:multiLevelType w:val="hybridMultilevel"/>
    <w:lvl w:ilvl="0">
      <w:lvlJc w:val="left"/>
      <w:lvlText w:val="(%1)"/>
      <w:numFmt w:val="lowerLetter"/>
      <w:start w:val="6"/>
    </w:lvl>
  </w:abstractNum>
  <w:abstractNum w:abstractNumId="544">
    <w:nsid w:val="2AC1076A"/>
    <w:multiLevelType w:val="hybridMultilevel"/>
    <w:lvl w:ilvl="0">
      <w:lvlJc w:val="left"/>
      <w:lvlText w:val="(%1)"/>
      <w:numFmt w:val="lowerLetter"/>
      <w:start w:val="1"/>
    </w:lvl>
  </w:abstractNum>
  <w:abstractNum w:abstractNumId="545">
    <w:nsid w:val="51A6E915"/>
    <w:multiLevelType w:val="hybridMultilevel"/>
    <w:lvl w:ilvl="0">
      <w:lvlJc w:val="left"/>
      <w:lvlText w:val="(%1)"/>
      <w:numFmt w:val="lowerLetter"/>
      <w:start w:val="1"/>
    </w:lvl>
  </w:abstractNum>
  <w:abstractNum w:abstractNumId="546">
    <w:nsid w:val="174BDE99"/>
    <w:multiLevelType w:val="hybridMultilevel"/>
    <w:lvl w:ilvl="0">
      <w:lvlJc w:val="left"/>
      <w:lvlText w:val="(%1)"/>
      <w:numFmt w:val="lowerLetter"/>
      <w:start w:val="2"/>
    </w:lvl>
    <w:lvl w:ilvl="1">
      <w:lvlJc w:val="left"/>
      <w:lvlText w:val="(%2)"/>
      <w:numFmt w:val="lowerRoman"/>
      <w:start w:val="1"/>
    </w:lvl>
  </w:abstractNum>
  <w:abstractNum w:abstractNumId="547">
    <w:nsid w:val="1F2BEA4E"/>
    <w:multiLevelType w:val="hybridMultilevel"/>
    <w:lvl w:ilvl="0">
      <w:lvlJc w:val="left"/>
      <w:lvlText w:val="(%1)"/>
      <w:numFmt w:val="lowerLetter"/>
      <w:start w:val="1"/>
    </w:lvl>
    <w:lvl w:ilvl="1">
      <w:lvlJc w:val="left"/>
      <w:lvlText w:val="(%2)"/>
      <w:numFmt w:val="lowerRoman"/>
      <w:start w:val="1"/>
    </w:lvl>
  </w:abstractNum>
  <w:abstractNum w:abstractNumId="548">
    <w:nsid w:val="3254A32"/>
    <w:multiLevelType w:val="hybridMultilevel"/>
    <w:lvl w:ilvl="0">
      <w:lvlJc w:val="left"/>
      <w:lvlText w:val="(%1)"/>
      <w:numFmt w:val="lowerLetter"/>
      <w:start w:val="1"/>
    </w:lvl>
  </w:abstractNum>
  <w:abstractNum w:abstractNumId="549">
    <w:nsid w:val="11ADB5F4"/>
    <w:multiLevelType w:val="hybridMultilevel"/>
    <w:lvl w:ilvl="0">
      <w:lvlJc w:val="left"/>
      <w:lvlText w:val="(%1)"/>
      <w:numFmt w:val="lowerRoman"/>
      <w:start w:val="1"/>
    </w:lvl>
  </w:abstractNum>
  <w:abstractNum w:abstractNumId="550">
    <w:nsid w:val="3575FED1"/>
    <w:multiLevelType w:val="hybridMultilevel"/>
    <w:lvl w:ilvl="0">
      <w:lvlJc w:val="left"/>
      <w:lvlText w:val="(%1)"/>
      <w:numFmt w:val="lowerLetter"/>
      <w:start w:val="1"/>
    </w:lvl>
  </w:abstractNum>
  <w:abstractNum w:abstractNumId="551">
    <w:nsid w:val="1B2B9E9D"/>
    <w:multiLevelType w:val="hybridMultilevel"/>
    <w:lvl w:ilvl="0">
      <w:lvlJc w:val="left"/>
      <w:lvlText w:val="(%1)"/>
      <w:numFmt w:val="lowerLetter"/>
      <w:start w:val="1"/>
    </w:lvl>
    <w:lvl w:ilvl="1">
      <w:lvlJc w:val="left"/>
      <w:lvlText w:val="(%2)"/>
      <w:numFmt w:val="lowerLetter"/>
      <w:start w:val="9"/>
    </w:lvl>
  </w:abstractNum>
  <w:abstractNum w:abstractNumId="552">
    <w:nsid w:val="3150E85C"/>
    <w:multiLevelType w:val="hybridMultilevel"/>
    <w:lvl w:ilvl="0">
      <w:lvlJc w:val="left"/>
      <w:lvlText w:val="(%1)"/>
      <w:numFmt w:val="upperLetter"/>
      <w:start w:val="1"/>
    </w:lvl>
  </w:abstractNum>
  <w:abstractNum w:abstractNumId="553">
    <w:nsid w:val="638FDBD1"/>
    <w:multiLevelType w:val="hybridMultilevel"/>
    <w:lvl w:ilvl="0">
      <w:lvlJc w:val="left"/>
      <w:lvlText w:val="(%1)"/>
      <w:numFmt w:val="lowerLetter"/>
      <w:start w:val="2"/>
    </w:lvl>
  </w:abstractNum>
  <w:abstractNum w:abstractNumId="554">
    <w:nsid w:val="1098CF6E"/>
    <w:multiLevelType w:val="hybridMultilevel"/>
    <w:lvl w:ilvl="0">
      <w:lvlJc w:val="left"/>
      <w:lvlText w:val="(%1)"/>
      <w:numFmt w:val="lowerLetter"/>
      <w:start w:val="1"/>
    </w:lvl>
    <w:lvl w:ilvl="1">
      <w:lvlJc w:val="left"/>
      <w:lvlText w:val="(%2)"/>
      <w:numFmt w:val="lowerRoman"/>
      <w:start w:val="1"/>
    </w:lvl>
  </w:abstractNum>
  <w:abstractNum w:abstractNumId="555">
    <w:nsid w:val="1AF465D"/>
    <w:multiLevelType w:val="hybridMultilevel"/>
    <w:lvl w:ilvl="0">
      <w:lvlJc w:val="left"/>
      <w:lvlText w:val="(%1)"/>
      <w:numFmt w:val="lowerLetter"/>
      <w:start w:val="2"/>
    </w:lvl>
  </w:abstractNum>
  <w:abstractNum w:abstractNumId="556">
    <w:nsid w:val="128D98B7"/>
    <w:multiLevelType w:val="hybridMultilevel"/>
    <w:lvl w:ilvl="0">
      <w:lvlJc w:val="left"/>
      <w:lvlText w:val="(%1)"/>
      <w:numFmt w:val="lowerLetter"/>
      <w:start w:val="1"/>
    </w:lvl>
  </w:abstractNum>
  <w:abstractNum w:abstractNumId="557">
    <w:nsid w:val="5F613832"/>
    <w:multiLevelType w:val="hybridMultilevel"/>
    <w:lvl w:ilvl="0">
      <w:lvlJc w:val="left"/>
      <w:lvlText w:val="(%1)"/>
      <w:numFmt w:val="upperLetter"/>
      <w:start w:val="1"/>
    </w:lvl>
  </w:abstractNum>
  <w:abstractNum w:abstractNumId="558">
    <w:nsid w:val="43E92260"/>
    <w:multiLevelType w:val="hybridMultilevel"/>
    <w:lvl w:ilvl="0">
      <w:lvlJc w:val="left"/>
      <w:lvlText w:val="%1"/>
      <w:numFmt w:val="lowerLetter"/>
      <w:start w:val="1"/>
    </w:lvl>
    <w:lvl w:ilvl="1">
      <w:lvlJc w:val="left"/>
      <w:lvlText w:val="(%2)"/>
      <w:numFmt w:val="lowerRoman"/>
      <w:start w:val="2"/>
    </w:lvl>
  </w:abstractNum>
  <w:abstractNum w:abstractNumId="559">
    <w:nsid w:val="430A1662"/>
    <w:multiLevelType w:val="hybridMultilevel"/>
    <w:lvl w:ilvl="0">
      <w:lvlJc w:val="left"/>
      <w:lvlText w:val="(%1)"/>
      <w:numFmt w:val="lowerLetter"/>
      <w:start w:val="3"/>
    </w:lvl>
    <w:lvl w:ilvl="1">
      <w:lvlJc w:val="left"/>
      <w:lvlText w:val="(%2)"/>
      <w:numFmt w:val="lowerRoman"/>
      <w:start w:val="1"/>
    </w:lvl>
  </w:abstractNum>
  <w:abstractNum w:abstractNumId="560">
    <w:nsid w:val="1F9D5C18"/>
    <w:multiLevelType w:val="hybridMultilevel"/>
    <w:lvl w:ilvl="0">
      <w:lvlJc w:val="left"/>
      <w:lvlText w:val="(%1)"/>
      <w:numFmt w:val="lowerLetter"/>
      <w:start w:val="4"/>
    </w:lvl>
  </w:abstractNum>
  <w:abstractNum w:abstractNumId="561">
    <w:nsid w:val="1CC11C37"/>
    <w:multiLevelType w:val="hybridMultilevel"/>
    <w:lvl w:ilvl="0">
      <w:lvlJc w:val="left"/>
      <w:lvlText w:val="%1"/>
      <w:numFmt w:val="decimal"/>
      <w:start w:val="42"/>
    </w:lvl>
  </w:abstractNum>
  <w:abstractNum w:abstractNumId="562">
    <w:nsid w:val="4557D5D8"/>
    <w:multiLevelType w:val="hybridMultilevel"/>
    <w:lvl w:ilvl="0">
      <w:lvlJc w:val="left"/>
      <w:lvlText w:val="(%1)"/>
      <w:numFmt w:val="lowerLetter"/>
      <w:start w:val="1"/>
    </w:lvl>
  </w:abstractNum>
  <w:abstractNum w:abstractNumId="563">
    <w:nsid w:val="72D2B579"/>
    <w:multiLevelType w:val="hybridMultilevel"/>
    <w:lvl w:ilvl="0">
      <w:lvlJc w:val="left"/>
      <w:lvlText w:val="(%1)"/>
      <w:numFmt w:val="lowerRoman"/>
      <w:start w:val="1"/>
    </w:lvl>
  </w:abstractNum>
  <w:abstractNum w:abstractNumId="564">
    <w:nsid w:val="6C0BE536"/>
    <w:multiLevelType w:val="hybridMultilevel"/>
    <w:lvl w:ilvl="0">
      <w:lvlJc w:val="left"/>
      <w:lvlText w:val="(%1)"/>
      <w:numFmt w:val="lowerLetter"/>
      <w:start w:val="1"/>
    </w:lvl>
    <w:lvl w:ilvl="1">
      <w:lvlJc w:val="left"/>
      <w:lvlText w:val="(%2)"/>
      <w:numFmt w:val="lowerRoman"/>
      <w:start w:val="1"/>
    </w:lvl>
  </w:abstractNum>
  <w:abstractNum w:abstractNumId="565">
    <w:nsid w:val="1E22BCB2"/>
    <w:multiLevelType w:val="hybridMultilevel"/>
    <w:lvl w:ilvl="0">
      <w:lvlJc w:val="left"/>
      <w:lvlText w:val="(%1)"/>
      <w:numFmt w:val="lowerLetter"/>
      <w:start w:val="2"/>
    </w:lvl>
  </w:abstractNum>
  <w:abstractNum w:abstractNumId="566">
    <w:nsid w:val="3565F1C8"/>
    <w:multiLevelType w:val="hybridMultilevel"/>
    <w:lvl w:ilvl="0">
      <w:lvlJc w:val="left"/>
      <w:lvlText w:val="(%1)"/>
      <w:numFmt w:val="lowerRoman"/>
      <w:start w:val="1"/>
    </w:lvl>
  </w:abstractNum>
  <w:abstractNum w:abstractNumId="567">
    <w:nsid w:val="5EA6D896"/>
    <w:multiLevelType w:val="hybridMultilevel"/>
    <w:lvl w:ilvl="0">
      <w:lvlJc w:val="left"/>
      <w:lvlText w:val="(%1)"/>
      <w:numFmt w:val="lowerRoman"/>
      <w:start w:val="2"/>
    </w:lvl>
  </w:abstractNum>
  <w:abstractNum w:abstractNumId="568">
    <w:nsid w:val="3D096BBF"/>
    <w:multiLevelType w:val="hybridMultilevel"/>
    <w:lvl w:ilvl="0">
      <w:lvlJc w:val="left"/>
      <w:lvlText w:val="(%1)"/>
      <w:numFmt w:val="lowerLetter"/>
      <w:start w:val="1"/>
    </w:lvl>
  </w:abstractNum>
  <w:abstractNum w:abstractNumId="569">
    <w:nsid w:val="BD6D5B5"/>
    <w:multiLevelType w:val="hybridMultilevel"/>
    <w:lvl w:ilvl="0">
      <w:lvlJc w:val="left"/>
      <w:lvlText w:val="(%1)"/>
      <w:numFmt w:val="lowerLetter"/>
      <w:start w:val="1"/>
    </w:lvl>
  </w:abstractNum>
  <w:abstractNum w:abstractNumId="570">
    <w:nsid w:val="3B52115C"/>
    <w:multiLevelType w:val="hybridMultilevel"/>
    <w:lvl w:ilvl="0">
      <w:lvlJc w:val="left"/>
      <w:lvlText w:val="%1"/>
      <w:numFmt w:val="decimal"/>
      <w:start w:val="44"/>
    </w:lvl>
  </w:abstractNum>
  <w:abstractNum w:abstractNumId="571">
    <w:nsid w:val="787AA59C"/>
    <w:multiLevelType w:val="hybridMultilevel"/>
    <w:lvl w:ilvl="0">
      <w:lvlJc w:val="left"/>
      <w:lvlText w:val="(%1)"/>
      <w:numFmt w:val="lowerLetter"/>
      <w:start w:val="1"/>
    </w:lvl>
  </w:abstractNum>
  <w:abstractNum w:abstractNumId="572">
    <w:nsid w:val="70BB9983"/>
    <w:multiLevelType w:val="hybridMultilevel"/>
    <w:lvl w:ilvl="0">
      <w:lvlJc w:val="left"/>
      <w:lvlText w:val="(%1)"/>
      <w:numFmt w:val="lowerLetter"/>
      <w:start w:val="2"/>
    </w:lvl>
  </w:abstractNum>
  <w:abstractNum w:abstractNumId="573">
    <w:nsid w:val="51EEBEEA"/>
    <w:multiLevelType w:val="hybridMultilevel"/>
    <w:lvl w:ilvl="0">
      <w:lvlJc w:val="left"/>
      <w:lvlText w:val="(%1)"/>
      <w:numFmt w:val="lowerLetter"/>
      <w:start w:val="1"/>
    </w:lvl>
  </w:abstractNum>
  <w:abstractNum w:abstractNumId="574">
    <w:nsid w:val="221A0CCD"/>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575">
    <w:nsid w:val="1B7CA0ED"/>
    <w:multiLevelType w:val="hybridMultilevel"/>
    <w:lvl w:ilvl="0">
      <w:lvlJc w:val="left"/>
      <w:lvlText w:val="2"/>
      <w:numFmt w:val="bullet"/>
      <w:start w:val="1"/>
    </w:lvl>
  </w:abstractNum>
  <w:abstractNum w:abstractNumId="576">
    <w:nsid w:val="2395A7FF"/>
    <w:multiLevelType w:val="hybridMultilevel"/>
    <w:lvl w:ilvl="0">
      <w:lvlJc w:val="left"/>
      <w:lvlText w:val="(%1)"/>
      <w:numFmt w:val="lowerLetter"/>
      <w:start w:val="1"/>
    </w:lvl>
  </w:abstractNum>
  <w:abstractNum w:abstractNumId="577">
    <w:nsid w:val="3965EB66"/>
    <w:multiLevelType w:val="hybridMultilevel"/>
    <w:lvl w:ilvl="0">
      <w:lvlJc w:val="left"/>
      <w:lvlText w:val="3"/>
      <w:numFmt w:val="bullet"/>
      <w:start w:val="1"/>
    </w:lvl>
    <w:lvl w:ilvl="1">
      <w:lvlJc w:val="left"/>
      <w:lvlText w:val="(%2)"/>
      <w:numFmt w:val="lowerLetter"/>
      <w:start w:val="1"/>
    </w:lvl>
  </w:abstractNum>
  <w:abstractNum w:abstractNumId="578">
    <w:nsid w:val="3AA88B3C"/>
    <w:multiLevelType w:val="hybridMultilevel"/>
    <w:lvl w:ilvl="0">
      <w:lvlJc w:val="left"/>
      <w:lvlText w:val="4"/>
      <w:numFmt w:val="bullet"/>
      <w:start w:val="1"/>
    </w:lvl>
  </w:abstractNum>
  <w:abstractNum w:abstractNumId="579">
    <w:nsid w:val="26BAF231"/>
    <w:multiLevelType w:val="hybridMultilevel"/>
    <w:lvl w:ilvl="0">
      <w:lvlJc w:val="left"/>
      <w:lvlText w:val="5"/>
      <w:numFmt w:val="bullet"/>
      <w:start w:val="1"/>
    </w:lvl>
  </w:abstractNum>
  <w:abstractNum w:abstractNumId="580">
    <w:nsid w:val="4B13A15A"/>
    <w:multiLevelType w:val="hybridMultilevel"/>
    <w:lvl w:ilvl="0">
      <w:lvlJc w:val="left"/>
      <w:lvlText w:val="6"/>
      <w:numFmt w:val="bullet"/>
      <w:start w:val="1"/>
    </w:lvl>
  </w:abstractNum>
  <w:abstractNum w:abstractNumId="581">
    <w:nsid w:val="701E8A0D"/>
    <w:multiLevelType w:val="hybridMultilevel"/>
    <w:lvl w:ilvl="0">
      <w:lvlJc w:val="left"/>
      <w:lvlText w:val="1"/>
      <w:numFmt w:val="bullet"/>
      <w:start w:val="1"/>
    </w:lvl>
  </w:abstractNum>
  <w:abstractNum w:abstractNumId="582">
    <w:nsid w:val="41E690CF"/>
    <w:multiLevelType w:val="hybridMultilevel"/>
    <w:lvl w:ilvl="0">
      <w:lvlJc w:val="left"/>
      <w:lvlText w:val="2"/>
      <w:numFmt w:val="bullet"/>
      <w:start w:val="1"/>
    </w:lvl>
    <w:lvl w:ilvl="1">
      <w:lvlJc w:val="left"/>
      <w:lvlText w:val="(%2)"/>
      <w:numFmt w:val="lowerLetter"/>
      <w:start w:val="1"/>
    </w:lvl>
  </w:abstractNum>
  <w:abstractNum w:abstractNumId="583">
    <w:nsid w:val="7C6489B6"/>
    <w:multiLevelType w:val="hybridMultilevel"/>
    <w:lvl w:ilvl="0">
      <w:lvlJc w:val="left"/>
      <w:lvlText w:val="3"/>
      <w:numFmt w:val="bullet"/>
      <w:start w:val="1"/>
    </w:lvl>
  </w:abstractNum>
  <w:abstractNum w:abstractNumId="584">
    <w:nsid w:val="53AE65DE"/>
    <w:multiLevelType w:val="hybridMultilevel"/>
    <w:lvl w:ilvl="0">
      <w:lvlJc w:val="left"/>
      <w:lvlText w:val="4"/>
      <w:numFmt w:val="bullet"/>
      <w:start w:val="1"/>
    </w:lvl>
  </w:abstractNum>
  <w:abstractNum w:abstractNumId="585">
    <w:nsid w:val="527F603D"/>
    <w:multiLevelType w:val="hybridMultilevel"/>
    <w:lvl w:ilvl="0">
      <w:lvlJc w:val="left"/>
      <w:lvlText w:val="(%1)"/>
      <w:numFmt w:val="lowerLetter"/>
      <w:start w:val="1"/>
    </w:lvl>
  </w:abstractNum>
  <w:abstractNum w:abstractNumId="586">
    <w:nsid w:val="7E13D013"/>
    <w:multiLevelType w:val="hybridMultilevel"/>
    <w:lvl w:ilvl="0">
      <w:lvlJc w:val="left"/>
      <w:lvlText w:val="5"/>
      <w:numFmt w:val="bullet"/>
      <w:start w:val="1"/>
    </w:lvl>
  </w:abstractNum>
  <w:abstractNum w:abstractNumId="587">
    <w:nsid w:val="663BFE95"/>
    <w:multiLevelType w:val="hybridMultilevel"/>
    <w:lvl w:ilvl="0">
      <w:lvlJc w:val="left"/>
      <w:lvlText w:val="6"/>
      <w:numFmt w:val="bullet"/>
      <w:start w:val="1"/>
    </w:lvl>
  </w:abstractNum>
  <w:abstractNum w:abstractNumId="588">
    <w:nsid w:val="31E0986F"/>
    <w:multiLevelType w:val="hybridMultilevel"/>
    <w:lvl w:ilvl="0">
      <w:lvlJc w:val="left"/>
      <w:lvlText w:val="(%1)"/>
      <w:numFmt w:val="lowerLetter"/>
      <w:start w:val="1"/>
    </w:lvl>
  </w:abstractNum>
  <w:abstractNum w:abstractNumId="589">
    <w:nsid w:val="41FCF274"/>
    <w:multiLevelType w:val="hybridMultilevel"/>
    <w:lvl w:ilvl="0">
      <w:lvlJc w:val="left"/>
      <w:lvlText w:val="7"/>
      <w:numFmt w:val="bullet"/>
      <w:start w:val="1"/>
    </w:lvl>
  </w:abstractNum>
  <w:abstractNum w:abstractNumId="590">
    <w:nsid w:val="294614F7"/>
    <w:multiLevelType w:val="hybridMultilevel"/>
    <w:lvl w:ilvl="0">
      <w:lvlJc w:val="left"/>
      <w:lvlText w:val="(%1)"/>
      <w:numFmt w:val="lowerLetter"/>
      <w:start w:val="1"/>
    </w:lvl>
  </w:abstractNum>
  <w:abstractNum w:abstractNumId="591">
    <w:nsid w:val="517DF487"/>
    <w:multiLevelType w:val="hybridMultilevel"/>
    <w:lvl w:ilvl="0">
      <w:lvlJc w:val="left"/>
      <w:lvlText w:val="8"/>
      <w:numFmt w:val="bullet"/>
      <w:start w:val="1"/>
    </w:lvl>
  </w:abstractNum>
  <w:abstractNum w:abstractNumId="592">
    <w:nsid w:val="5EBE0EAB"/>
    <w:multiLevelType w:val="hybridMultilevel"/>
    <w:lvl w:ilvl="0">
      <w:lvlJc w:val="left"/>
      <w:lvlText w:val="9"/>
      <w:numFmt w:val="bullet"/>
      <w:start w:val="1"/>
    </w:lvl>
  </w:abstractNum>
  <w:abstractNum w:abstractNumId="593">
    <w:nsid w:val="6E9DEAD0"/>
    <w:multiLevelType w:val="hybridMultilevel"/>
    <w:lvl w:ilvl="0">
      <w:lvlJc w:val="left"/>
      <w:lvlText w:val="%1"/>
      <w:numFmt w:val="decimal"/>
      <w:start w:val="15"/>
    </w:lvl>
    <w:lvl w:ilvl="1">
      <w:lvlJc w:val="left"/>
      <w:lvlText w:val="(%2)"/>
      <w:numFmt w:val="lowerLetter"/>
      <w:start w:val="1"/>
    </w:lvl>
  </w:abstractNum>
  <w:abstractNum w:abstractNumId="594">
    <w:nsid w:val="4450AA00"/>
    <w:multiLevelType w:val="hybridMultilevel"/>
    <w:lvl w:ilvl="0">
      <w:lvlJc w:val="left"/>
      <w:lvlText w:val="(%1)"/>
      <w:numFmt w:val="lowerLetter"/>
      <w:start w:val="1"/>
    </w:lvl>
  </w:abstractNum>
  <w:abstractNum w:abstractNumId="595">
    <w:nsid w:val="4AC9F3E2"/>
    <w:multiLevelType w:val="hybridMultilevel"/>
    <w:lvl w:ilvl="0">
      <w:lvlJc w:val="left"/>
      <w:lvlText w:val="(%1)"/>
      <w:numFmt w:val="lowerLetter"/>
      <w:start w:val="1"/>
    </w:lvl>
  </w:abstractNum>
  <w:abstractNum w:abstractNumId="596">
    <w:nsid w:val="CC0A782"/>
    <w:multiLevelType w:val="hybridMultilevel"/>
    <w:lvl w:ilvl="0">
      <w:lvlJc w:val="left"/>
      <w:lvlText w:val="1"/>
      <w:numFmt w:val="bullet"/>
      <w:start w:val="1"/>
    </w:lvl>
  </w:abstractNum>
  <w:abstractNum w:abstractNumId="597">
    <w:nsid w:val="79B69BC9"/>
    <w:multiLevelType w:val="hybridMultilevel"/>
    <w:lvl w:ilvl="0">
      <w:lvlJc w:val="left"/>
      <w:lvlText w:val="2"/>
      <w:numFmt w:val="bullet"/>
      <w:start w:val="1"/>
    </w:lvl>
  </w:abstractNum>
  <w:abstractNum w:abstractNumId="598">
    <w:nsid w:val="2970CC78"/>
    <w:multiLevelType w:val="hybridMultilevel"/>
    <w:lvl w:ilvl="0">
      <w:lvlJc w:val="left"/>
      <w:lvlText w:val="3"/>
      <w:numFmt w:val="bullet"/>
      <w:start w:val="1"/>
    </w:lvl>
  </w:abstractNum>
  <w:abstractNum w:abstractNumId="599">
    <w:nsid w:val="49CA1341"/>
    <w:multiLevelType w:val="hybridMultilevel"/>
    <w:lvl w:ilvl="0">
      <w:lvlJc w:val="left"/>
      <w:lvlText w:val="4"/>
      <w:numFmt w:val="bullet"/>
      <w:start w:val="1"/>
    </w:lvl>
  </w:abstractNum>
  <w:abstractNum w:abstractNumId="600">
    <w:nsid w:val="58D717E"/>
    <w:multiLevelType w:val="hybridMultilevel"/>
    <w:lvl w:ilvl="0">
      <w:lvlJc w:val="left"/>
      <w:lvlText w:val="5"/>
      <w:numFmt w:val="bullet"/>
      <w:start w:val="1"/>
    </w:lvl>
  </w:abstractNum>
  <w:abstractNum w:abstractNumId="601">
    <w:nsid w:val="64C2DDD5"/>
    <w:multiLevelType w:val="hybridMultilevel"/>
    <w:lvl w:ilvl="0">
      <w:lvlJc w:val="left"/>
      <w:lvlText w:val="6"/>
      <w:numFmt w:val="bullet"/>
      <w:start w:val="1"/>
    </w:lvl>
  </w:abstractNum>
  <w:abstractNum w:abstractNumId="602">
    <w:nsid w:val="4244B8DE"/>
    <w:multiLevelType w:val="hybridMultilevel"/>
    <w:lvl w:ilvl="0">
      <w:lvlJc w:val="left"/>
      <w:lvlText w:val="7"/>
      <w:numFmt w:val="bullet"/>
      <w:start w:val="1"/>
    </w:lvl>
  </w:abstractNum>
  <w:abstractNum w:abstractNumId="603">
    <w:nsid w:val="76490B01"/>
    <w:multiLevelType w:val="hybridMultilevel"/>
    <w:lvl w:ilvl="0">
      <w:lvlJc w:val="left"/>
      <w:lvlText w:val="1"/>
      <w:numFmt w:val="bullet"/>
      <w:start w:val="1"/>
    </w:lvl>
  </w:abstractNum>
  <w:abstractNum w:abstractNumId="604">
    <w:nsid w:val="36B19CBF"/>
    <w:multiLevelType w:val="hybridMultilevel"/>
    <w:lvl w:ilvl="0">
      <w:lvlJc w:val="left"/>
      <w:lvlText w:val="2"/>
      <w:numFmt w:val="bullet"/>
      <w:start w:val="1"/>
    </w:lvl>
    <w:lvl w:ilvl="1">
      <w:lvlJc w:val="left"/>
      <w:lvlText w:val="(%2)"/>
      <w:numFmt w:val="lowerLetter"/>
      <w:start w:val="1"/>
    </w:lvl>
  </w:abstractNum>
  <w:abstractNum w:abstractNumId="605">
    <w:nsid w:val="645EC5AB"/>
    <w:multiLevelType w:val="hybridMultilevel"/>
    <w:lvl w:ilvl="0">
      <w:lvlJc w:val="left"/>
      <w:lvlText w:val="3"/>
      <w:numFmt w:val="bullet"/>
      <w:start w:val="1"/>
    </w:lvl>
    <w:lvl w:ilvl="1">
      <w:lvlJc w:val="left"/>
      <w:lvlText w:val="(%2)"/>
      <w:numFmt w:val="lowerLetter"/>
      <w:start w:val="1"/>
    </w:lvl>
  </w:abstractNum>
  <w:abstractNum w:abstractNumId="606">
    <w:nsid w:val="11C5ABEF"/>
    <w:multiLevelType w:val="hybridMultilevel"/>
    <w:lvl w:ilvl="0">
      <w:lvlJc w:val="left"/>
      <w:lvlText w:val="(%1)"/>
      <w:numFmt w:val="lowerLetter"/>
      <w:start w:val="4"/>
    </w:lvl>
  </w:abstractNum>
  <w:abstractNum w:abstractNumId="607">
    <w:nsid w:val="5A4744BE"/>
    <w:multiLevelType w:val="hybridMultilevel"/>
    <w:lvl w:ilvl="0">
      <w:lvlJc w:val="left"/>
      <w:lvlText w:val="4"/>
      <w:numFmt w:val="bullet"/>
      <w:start w:val="1"/>
    </w:lvl>
  </w:abstractNum>
  <w:abstractNum w:abstractNumId="608">
    <w:nsid w:val="1DC4B111"/>
    <w:multiLevelType w:val="hybridMultilevel"/>
    <w:lvl w:ilvl="0">
      <w:lvlJc w:val="left"/>
      <w:lvlText w:val="1"/>
      <w:numFmt w:val="bullet"/>
      <w:start w:val="1"/>
    </w:lvl>
  </w:abstractNum>
  <w:abstractNum w:abstractNumId="609">
    <w:nsid w:val="4C6E372B"/>
    <w:multiLevelType w:val="hybridMultilevel"/>
    <w:lvl w:ilvl="0">
      <w:lvlJc w:val="left"/>
      <w:lvlText w:val="2"/>
      <w:numFmt w:val="bullet"/>
      <w:start w:val="1"/>
    </w:lvl>
    <w:lvl w:ilvl="1">
      <w:lvlJc w:val="left"/>
      <w:lvlText w:val="(%2)"/>
      <w:numFmt w:val="lowerLetter"/>
      <w:start w:val="1"/>
    </w:lvl>
  </w:abstractNum>
  <w:abstractNum w:abstractNumId="610">
    <w:nsid w:val="10236EF"/>
    <w:multiLevelType w:val="hybridMultilevel"/>
    <w:lvl w:ilvl="0">
      <w:lvlJc w:val="left"/>
      <w:lvlText w:val="3"/>
      <w:numFmt w:val="bullet"/>
      <w:start w:val="1"/>
    </w:lvl>
  </w:abstractNum>
  <w:abstractNum w:abstractNumId="611">
    <w:nsid w:val="68D8526B"/>
    <w:multiLevelType w:val="hybridMultilevel"/>
    <w:lvl w:ilvl="0">
      <w:lvlJc w:val="left"/>
      <w:lvlText w:val="4"/>
      <w:numFmt w:val="bullet"/>
      <w:start w:val="1"/>
    </w:lvl>
  </w:abstractNum>
  <w:abstractNum w:abstractNumId="612">
    <w:nsid w:val="3C8CC138"/>
    <w:multiLevelType w:val="hybridMultilevel"/>
    <w:lvl w:ilvl="0">
      <w:lvlJc w:val="left"/>
      <w:lvlText w:val="5"/>
      <w:numFmt w:val="bullet"/>
      <w:start w:val="1"/>
    </w:lvl>
  </w:abstractNum>
  <w:abstractNum w:abstractNumId="613">
    <w:nsid w:val="42E8C7BE"/>
    <w:multiLevelType w:val="hybridMultilevel"/>
    <w:lvl w:ilvl="0">
      <w:lvlJc w:val="left"/>
      <w:lvlText w:val="6"/>
      <w:numFmt w:val="bullet"/>
      <w:start w:val="1"/>
    </w:lvl>
  </w:abstractNum>
  <w:abstractNum w:abstractNumId="614">
    <w:nsid w:val="653CDC22"/>
    <w:multiLevelType w:val="hybridMultilevel"/>
    <w:lvl w:ilvl="0">
      <w:lvlJc w:val="left"/>
      <w:lvlText w:val="7"/>
      <w:numFmt w:val="bullet"/>
      <w:start w:val="1"/>
    </w:lvl>
  </w:abstractNum>
  <w:abstractNum w:abstractNumId="615">
    <w:nsid w:val="103B2716"/>
    <w:multiLevelType w:val="hybridMultilevel"/>
    <w:lvl w:ilvl="0">
      <w:lvlJc w:val="left"/>
      <w:lvlText w:val="%1."/>
      <w:numFmt w:val="decimal"/>
      <w:start w:val="1"/>
    </w:lvl>
    <w:lvl w:ilvl="1">
      <w:lvlJc w:val="left"/>
      <w:lvlText w:val="(%2)"/>
      <w:numFmt w:val="lowerLetter"/>
      <w:start w:val="1"/>
    </w:lvl>
  </w:abstractNum>
  <w:abstractNum w:abstractNumId="616">
    <w:nsid w:val="156827FB"/>
    <w:multiLevelType w:val="hybridMultilevel"/>
    <w:lvl w:ilvl="0">
      <w:lvlJc w:val="left"/>
      <w:lvlText w:val="%1."/>
      <w:numFmt w:val="decimal"/>
      <w:start w:val="1"/>
    </w:lvl>
    <w:lvl w:ilvl="1">
      <w:lvlJc w:val="left"/>
      <w:lvlText w:val="(%2)"/>
      <w:numFmt w:val="lowerLetter"/>
      <w:start w:val="1"/>
    </w:lvl>
  </w:abstractNum>
  <w:abstractNum w:abstractNumId="617">
    <w:nsid w:val="6350AC35"/>
    <w:multiLevelType w:val="hybridMultilevel"/>
    <w:lvl w:ilvl="0">
      <w:lvlJc w:val="left"/>
      <w:lvlText w:val="%1."/>
      <w:numFmt w:val="decimal"/>
      <w:start w:val="1"/>
    </w:lvl>
  </w:abstractNum>
  <w:abstractNum w:abstractNumId="618">
    <w:nsid w:val="767725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34"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jpe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206" Type="http://schemas.openxmlformats.org/officeDocument/2006/relationships/hyperlink" Target="http://www.sec.gov/Archives/edgar/data/1534126/000093041312001544/c67840_ex3-1.htm" TargetMode="External"/><Relationship Id="rId207" Type="http://schemas.openxmlformats.org/officeDocument/2006/relationships/hyperlink" Target="http://www.sec.gov/Archives/edgar/data/1534126/000093041312001544/c67840_ex3-2.htm" TargetMode="External"/><Relationship Id="rId208" Type="http://schemas.openxmlformats.org/officeDocument/2006/relationships/hyperlink" Target="http://www.sec.gov/Archives/edgar/data/1534126/000093041313003127/c73940_ex3-1.htm" TargetMode="External"/><Relationship Id="rId209" Type="http://schemas.openxmlformats.org/officeDocument/2006/relationships/hyperlink" Target="http://www.sec.gov/Archives/edgar/data/1534126/000093041312001544/c67840_ex4-1.htm" TargetMode="External"/><Relationship Id="rId210" Type="http://schemas.openxmlformats.org/officeDocument/2006/relationships/hyperlink" Target="http://www.sec.gov/Archives/edgar/data/1598655/000104746920001174/a2240809zex-2_3.htm" TargetMode="External"/><Relationship Id="rId211" Type="http://schemas.openxmlformats.org/officeDocument/2006/relationships/hyperlink" Target="http://www.sec.gov/Archives/edgar/data/1534126/000093041312001612/c67840_ex4-2.htm" TargetMode="External"/><Relationship Id="rId212" Type="http://schemas.openxmlformats.org/officeDocument/2006/relationships/hyperlink" Target="http://www.sec.gov/Archives/edgar/data/1534126/000093041312001544/c67840_ex10-20.htm" TargetMode="External"/><Relationship Id="rId213" Type="http://schemas.openxmlformats.org/officeDocument/2006/relationships/hyperlink" Target="http://www.sec.gov/Archives/edgar/data/1534126/000093041316006011/c84192_ex4-5.htm" TargetMode="External"/><Relationship Id="rId214" Type="http://schemas.openxmlformats.org/officeDocument/2006/relationships/hyperlink" Target="http://www.sec.gov/Archives/edgar/data/1534126/000093041312001612/c67840_ex10-23.htm" TargetMode="External"/><Relationship Id="rId215" Type="http://schemas.openxmlformats.org/officeDocument/2006/relationships/hyperlink" Target="http://www.sec.gov/Archives/edgar/data/1534126/000093041313001382/c72925_ex4-5.htm" TargetMode="External"/><Relationship Id="rId216" Type="http://schemas.openxmlformats.org/officeDocument/2006/relationships/hyperlink" Target="http://www.sec.gov/Archives/edgar/data/1534126/000093041316006011/c84192_ex4-10.htm" TargetMode="External"/><Relationship Id="rId217" Type="http://schemas.openxmlformats.org/officeDocument/2006/relationships/hyperlink" Target="http://www.sec.gov/Archives/edgar/data/1534126/000093041316006011/c84192_ex4-11.htm" TargetMode="External"/><Relationship Id="rId220" Type="http://schemas.openxmlformats.org/officeDocument/2006/relationships/hyperlink" Target="http://www.sec.gov/Archives/edgar/data/1534126/000093041316006011/c84192_ex4-13.htm" TargetMode="External"/><Relationship Id="rId221" Type="http://schemas.openxmlformats.org/officeDocument/2006/relationships/hyperlink" Target="http://www.sec.gov/Archives/edgar/data/1534126/000093041316006011/c84192_ex4-14.htm" TargetMode="External"/><Relationship Id="rId222" Type="http://schemas.openxmlformats.org/officeDocument/2006/relationships/hyperlink" Target="http://www.sec.gov/Archives/edgar/data/1534126/000093041316007781/c85737_ex99-3.htm" TargetMode="External"/><Relationship Id="rId223" Type="http://schemas.openxmlformats.org/officeDocument/2006/relationships/hyperlink" Target="http://www.sec.gov/Archives/edgar/data/1598655/000104746919000676/a2237744zex-4_23.htm" TargetMode="External"/><Relationship Id="rId224" Type="http://schemas.openxmlformats.org/officeDocument/2006/relationships/hyperlink" Target="http://www.sec.gov/Archives/edgar/data/1598655/000110465919037093/a19-11905_1ex10d1.htm" TargetMode="External"/><Relationship Id="rId225" Type="http://schemas.openxmlformats.org/officeDocument/2006/relationships/hyperlink" Target="http://www.sec.gov/Archives/edgar/data/1534126/000104746920001264/a2240842zex-4_14.htm" TargetMode="External"/><Relationship Id="rId226" Type="http://schemas.openxmlformats.org/officeDocument/2006/relationships/hyperlink" Target="http://www.sec.gov/Archives/edgar/data/1534126/000104746920001264/a2240842zex-4_15.htm" TargetMode="External"/><Relationship Id="rId229" Type="http://schemas.openxmlformats.org/officeDocument/2006/relationships/hyperlink" Target="http://www.sec.gov/Archives/edgar/data/1598655/000104746920001174/a2240809zex-4_18.htm" TargetMode="External"/><Relationship Id="rId230" Type="http://schemas.openxmlformats.org/officeDocument/2006/relationships/hyperlink" Target="http://www.sec.gov/Archives/edgar/data/1534126/000110465920078018/a20-23632_1ex4d1.htm" TargetMode="External"/><Relationship Id="rId231" Type="http://schemas.openxmlformats.org/officeDocument/2006/relationships/hyperlink" Target="http://www.sec.gov/Archives/edgar/data/1534126/000110465920090544/a20-22823_1ex4d1.htm" TargetMode="External"/><Relationship Id="rId232" Type="http://schemas.openxmlformats.org/officeDocument/2006/relationships/hyperlink" Target="http://www.sec.gov/Archives/edgar/data/1598655/000110465920090543/a20-22824_1ex4d1.htm" TargetMode="External"/><Relationship Id="rId233" Type="http://schemas.openxmlformats.org/officeDocument/2006/relationships/hyperlink" Target="http://www.sec.gov/Archives/edgar/data/1598655/000110465920090543/a20-22824_1ex4d2.htm" TargetMode="External"/><Relationship Id="rId235" Type="http://schemas.openxmlformats.org/officeDocument/2006/relationships/hyperlink" Target="http://www.sec.gov/Archives/edgar/data/1534126/000095015721000283/ex2-1.htm" TargetMode="External"/><Relationship Id="rId236" Type="http://schemas.openxmlformats.org/officeDocument/2006/relationships/hyperlink" Target="http://www.sec.gov/Archives/edgar/data/1534126/000095015721000283/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2021-03-05T05:56:13Z</dcterms:created>
  <dcterms:modified xsi:type="dcterms:W3CDTF">2021-03-05T05:56:13Z</dcterms:modified>
</cp:coreProperties>
</file>