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month of October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001-35466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Ltd</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Gildo Pastor Center</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spacing w:after="0"/>
              <w:rPr>
                <w:sz w:val="20"/>
                <w:szCs w:val="20"/>
                <w:color w:val="auto"/>
              </w:rPr>
            </w:pPr>
            <w:r>
              <w:rPr>
                <w:rFonts w:ascii="Arial" w:cs="Arial" w:eastAsia="Arial" w:hAnsi="Arial"/>
                <w:sz w:val="18"/>
                <w:szCs w:val="18"/>
                <w:color w:val="auto"/>
                <w:w w:val="99"/>
              </w:rPr>
              <w:t>Indicate by check mark whether the registrant files or will file annual reports under cover of Form 20-F or Form 40-F.</w:t>
            </w:r>
          </w:p>
        </w:tc>
        <w:tc>
          <w:tcPr>
            <w:tcW w:w="22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9220" w:type="dxa"/>
            <w:vAlign w:val="bottom"/>
          </w:tcPr>
          <w:p>
            <w:pPr>
              <w:spacing w:after="0"/>
              <w:rPr>
                <w:sz w:val="20"/>
                <w:szCs w:val="20"/>
                <w:color w:val="auto"/>
              </w:rPr>
            </w:pPr>
            <w:r>
              <w:rPr>
                <w:rFonts w:ascii="Arial" w:cs="Arial" w:eastAsia="Arial" w:hAnsi="Arial"/>
                <w:sz w:val="18"/>
                <w:szCs w:val="18"/>
                <w:color w:val="auto"/>
              </w:rPr>
              <w:t>Form 20-F x   Form 40-F o</w:t>
            </w: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22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101(b)(1):</w:t>
            </w:r>
          </w:p>
        </w:tc>
        <w:tc>
          <w:tcPr>
            <w:tcW w:w="2200" w:type="dxa"/>
            <w:vAlign w:val="bottom"/>
          </w:tcPr>
          <w:p>
            <w:pPr>
              <w:ind w:left="26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4"/>
                <w:szCs w:val="24"/>
                <w:color w:val="auto"/>
              </w:rPr>
            </w:pPr>
          </w:p>
        </w:tc>
      </w:tr>
      <w:tr>
        <w:trPr>
          <w:trHeight w:val="432"/>
        </w:trPr>
        <w:tc>
          <w:tcPr>
            <w:tcW w:w="922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101(b)(7):</w:t>
            </w:r>
          </w:p>
        </w:tc>
        <w:tc>
          <w:tcPr>
            <w:tcW w:w="2200" w:type="dxa"/>
            <w:vAlign w:val="bottom"/>
          </w:tcPr>
          <w:p>
            <w:pPr>
              <w:ind w:left="26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4"/>
                <w:szCs w:val="24"/>
                <w:color w:val="auto"/>
              </w:rPr>
            </w:pPr>
          </w:p>
        </w:tc>
      </w:tr>
      <w:tr>
        <w:trPr>
          <w:trHeight w:val="216"/>
        </w:trPr>
        <w:tc>
          <w:tcPr>
            <w:tcW w:w="9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92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922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right="80" w:firstLine="376"/>
        <w:spacing w:after="0" w:line="277" w:lineRule="auto"/>
        <w:rPr>
          <w:sz w:val="20"/>
          <w:szCs w:val="20"/>
          <w:color w:val="auto"/>
        </w:rPr>
      </w:pPr>
      <w:r>
        <w:rPr>
          <w:rFonts w:ascii="Arial" w:cs="Arial" w:eastAsia="Arial" w:hAnsi="Arial"/>
          <w:sz w:val="18"/>
          <w:szCs w:val="18"/>
          <w:color w:val="auto"/>
        </w:rPr>
        <w:t>The press release issued by GasLog Ltd and Gaslog Partners LP on October 20, 2017 announcing the closing of the acquisition of the Solaris by GasLog Partners LP from GasLog Ltd is attached hereto as Exhibit 99.1.</w:t>
      </w:r>
    </w:p>
    <w:p>
      <w:pPr>
        <w:spacing w:after="0" w:line="17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4"/>
          <w:szCs w:val="24"/>
          <w:color w:val="auto"/>
        </w:rPr>
      </w:pPr>
    </w:p>
    <w:p>
      <w:pPr>
        <w:ind w:right="260" w:firstLine="772"/>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419"/>
              <w:spacing w:after="0"/>
              <w:rPr>
                <w:sz w:val="20"/>
                <w:szCs w:val="20"/>
                <w:color w:val="auto"/>
              </w:rPr>
            </w:pPr>
            <w:r>
              <w:rPr>
                <w:rFonts w:ascii="Arial" w:cs="Arial" w:eastAsia="Arial" w:hAnsi="Arial"/>
                <w:sz w:val="18"/>
                <w:szCs w:val="18"/>
                <w:color w:val="auto"/>
              </w:rPr>
              <w:t>EXHIBIT LIST</w:t>
            </w:r>
          </w:p>
        </w:tc>
        <w:tc>
          <w:tcPr>
            <w:tcW w:w="40" w:type="dxa"/>
            <w:vAlign w:val="bottom"/>
          </w:tcPr>
          <w:p>
            <w:pPr>
              <w:spacing w:after="0"/>
              <w:rPr>
                <w:sz w:val="20"/>
                <w:szCs w:val="20"/>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Dated October 20, 2017</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October 20, 2017</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GASLOG LTD</w:t>
      </w:r>
    </w:p>
    <w:p>
      <w:pPr>
        <w:spacing w:after="0" w:line="225" w:lineRule="exact"/>
        <w:rPr>
          <w:sz w:val="24"/>
          <w:szCs w:val="24"/>
          <w:color w:val="auto"/>
        </w:rPr>
      </w:pPr>
    </w:p>
    <w:p>
      <w:pPr>
        <w:ind w:left="6140"/>
        <w:spacing w:after="0"/>
        <w:tabs>
          <w:tab w:leader="none" w:pos="6540" w:val="left"/>
        </w:tabs>
        <w:rPr>
          <w:sz w:val="20"/>
          <w:szCs w:val="20"/>
          <w:color w:val="auto"/>
        </w:rPr>
      </w:pPr>
      <w:r>
        <w:rPr>
          <w:rFonts w:ascii="Arial" w:cs="Arial" w:eastAsia="Arial" w:hAnsi="Arial"/>
          <w:sz w:val="18"/>
          <w:szCs w:val="18"/>
          <w:color w:val="auto"/>
        </w:rPr>
        <w:t>by</w:t>
        <w:tab/>
        <w:t>/s/ Paul A. Wogan</w:t>
      </w:r>
    </w:p>
    <w:p>
      <w:pPr>
        <w:spacing w:after="0" w:line="23" w:lineRule="exact"/>
        <w:rPr>
          <w:sz w:val="24"/>
          <w:szCs w:val="24"/>
          <w:color w:val="auto"/>
        </w:rPr>
      </w:pPr>
    </w:p>
    <w:tbl>
      <w:tblPr>
        <w:tblLayout w:type="fixed"/>
        <w:tblInd w:w="656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Paul A. Wogan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44" w:right="199" w:bottom="154"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GasLog Partners LP Announces Closing Of </w:t>
      </w:r>
      <w:r>
        <w:rPr>
          <w:rFonts w:ascii="Arial" w:cs="Arial" w:eastAsia="Arial" w:hAnsi="Arial"/>
          <w:sz w:val="18"/>
          <w:szCs w:val="18"/>
          <w:b w:val="1"/>
          <w:bCs w:val="1"/>
          <w:i w:val="1"/>
          <w:iCs w:val="1"/>
          <w:color w:val="auto"/>
        </w:rPr>
        <w:t>Solaris</w:t>
      </w:r>
      <w:r>
        <w:rPr>
          <w:rFonts w:ascii="Arial" w:cs="Arial" w:eastAsia="Arial" w:hAnsi="Arial"/>
          <w:sz w:val="18"/>
          <w:szCs w:val="18"/>
          <w:b w:val="1"/>
          <w:bCs w:val="1"/>
          <w:color w:val="auto"/>
        </w:rPr>
        <w:t xml:space="preserve"> Acquisition From GasLog Ltd.</w:t>
      </w:r>
    </w:p>
    <w:p>
      <w:pPr>
        <w:spacing w:after="0" w:line="225"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b w:val="1"/>
          <w:bCs w:val="1"/>
          <w:color w:val="auto"/>
        </w:rPr>
        <w:t xml:space="preserve">MONACO — October 20, 2017 — </w:t>
      </w:r>
      <w:r>
        <w:rPr>
          <w:rFonts w:ascii="Arial" w:cs="Arial" w:eastAsia="Arial" w:hAnsi="Arial"/>
          <w:sz w:val="16"/>
          <w:szCs w:val="16"/>
          <w:color w:val="auto"/>
        </w:rPr>
        <w:t>GasLog Partners LP (NYSE:GLOP) (“GasLog Partners” or the “Partnership”) and GasLog Ltd. (NYSE:GLOG)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(“GasLog”) announced today the closing of the Partnership’s acquisition from GasLog of 100% of the shares in the entity that owns and charters </w:t>
      </w:r>
      <w:r>
        <w:rPr>
          <w:rFonts w:ascii="Arial" w:cs="Arial" w:eastAsia="Arial" w:hAnsi="Arial"/>
          <w:sz w:val="16"/>
          <w:szCs w:val="16"/>
          <w:i w:val="1"/>
          <w:iCs w:val="1"/>
          <w:color w:val="auto"/>
        </w:rPr>
        <w:t>Solaris</w:t>
      </w:r>
      <w:r>
        <w:rPr>
          <w:rFonts w:ascii="Arial" w:cs="Arial" w:eastAsia="Arial" w:hAnsi="Arial"/>
          <w:sz w:val="16"/>
          <w:szCs w:val="16"/>
          <w:color w:val="auto"/>
        </w:rPr>
        <w:t>.</w:t>
      </w:r>
    </w:p>
    <w:p>
      <w:pPr>
        <w:spacing w:after="0" w:line="12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Solaris </w:t>
      </w:r>
      <w:r>
        <w:rPr>
          <w:rFonts w:ascii="Arial" w:cs="Arial" w:eastAsia="Arial" w:hAnsi="Arial"/>
          <w:sz w:val="18"/>
          <w:szCs w:val="18"/>
          <w:color w:val="auto"/>
        </w:rPr>
        <w:t>is a 155,000 cubic meter tri-fuel diesel electric liquefied natural gas (“LNG”) carrier built in 2014. The vessel is currently on a multi-year time charter</w:t>
      </w:r>
      <w:r>
        <w:rPr>
          <w:rFonts w:ascii="Arial" w:cs="Arial" w:eastAsia="Arial" w:hAnsi="Arial"/>
          <w:sz w:val="18"/>
          <w:szCs w:val="18"/>
          <w:i w:val="1"/>
          <w:iCs w:val="1"/>
          <w:color w:val="auto"/>
        </w:rPr>
        <w:t xml:space="preserve"> </w:t>
      </w:r>
      <w:r>
        <w:rPr>
          <w:rFonts w:ascii="Arial" w:cs="Arial" w:eastAsia="Arial" w:hAnsi="Arial"/>
          <w:sz w:val="18"/>
          <w:szCs w:val="18"/>
          <w:color w:val="auto"/>
        </w:rPr>
        <w:t>with a wholly owned subsidiary of Royal Dutch Shell plc (“Shell”) through June 2021. Shell has two consecutive extension options which, if exercised, would extend the charter for a period of either five or ten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GasLog Partners is a growth-oriented master limited partnership focused on owning, operating and acquiring LNG carriers under multi-year charters. GasLog Partners’ fleet consists of 12 LNG carriers with an average carrying capacity of approximately 154,000 cbm. GasLog Partners’ principal executive offices are located at Gildo Pastor Center, 7 Rue du Gabian, MC 98000, Monaco. Visit GasLog Partners’ website at http://www.gaslogmlp.com.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owned fleet consists of 27 LNG carriers (22 ships on the water and 5 on order). GasLog also has an additional LNG carrier which was sold to a subsidiary of Mitsui Co. Ltd. and leased back under a long-term bareboat charter. GasLog’s consolidated fleet includes 12 LNG carriers in operation owned by GasLog’s subsidiary, GasLog Partners. GasLog’s principal executive offices are at Gildo Pastor Center, 7 Rue du Gabian, MC 98000, Monaco. Visit GasLog’s website at http://www.gaslogltd.com.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2019-12-07T16:48:23Z</dcterms:created>
  <dcterms:modified xsi:type="dcterms:W3CDTF">2019-12-07T16:48:23Z</dcterms:modified>
</cp:coreProperties>
</file>